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87" w:rsidRPr="00210787" w:rsidRDefault="00210787" w:rsidP="00210787">
      <w:pPr>
        <w:spacing w:after="200" w:line="276" w:lineRule="auto"/>
        <w:rPr>
          <w:rFonts w:ascii="Times New Roman" w:hAnsi="Times New Roman" w:cs="Times New Roman"/>
        </w:rPr>
      </w:pPr>
      <w:r w:rsidRPr="00210787">
        <w:rPr>
          <w:rFonts w:asciiTheme="minorHAnsi" w:hAnsiTheme="minorHAnsi"/>
          <w:noProof/>
          <w:lang w:eastAsia="es-ES"/>
        </w:rPr>
        <w:drawing>
          <wp:inline distT="0" distB="0" distL="0" distR="0" wp14:anchorId="26F8CBFE" wp14:editId="31B69B54">
            <wp:extent cx="447675" cy="447675"/>
            <wp:effectExtent l="0" t="0" r="9525" b="9525"/>
            <wp:docPr id="2" name="Imagen 2" descr="U:\REC\MATERIAL ADICIONAL-FORMATO\BOTO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EC\MATERIAL ADICIONAL-FORMATO\BOTON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078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CF147F">
        <w:rPr>
          <w:rFonts w:ascii="Times New Roman" w:hAnsi="Times New Roman" w:cs="Times New Roman"/>
          <w:b/>
          <w:color w:val="C00000"/>
          <w:sz w:val="26"/>
          <w:szCs w:val="26"/>
        </w:rPr>
        <w:t>Supplementary</w:t>
      </w:r>
      <w:proofErr w:type="spellEnd"/>
      <w:r w:rsidR="00CF147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material</w:t>
      </w:r>
    </w:p>
    <w:p w:rsidR="00210787" w:rsidRPr="00210787" w:rsidRDefault="00210787" w:rsidP="00210787">
      <w:pPr>
        <w:spacing w:after="200" w:line="276" w:lineRule="auto"/>
        <w:rPr>
          <w:rFonts w:asciiTheme="minorHAnsi" w:hAnsiTheme="minorHAnsi"/>
          <w:color w:val="C00000"/>
        </w:rPr>
      </w:pPr>
      <w:r w:rsidRPr="00210787">
        <w:rPr>
          <w:rFonts w:asciiTheme="minorHAnsi" w:hAnsiTheme="minorHAnsi"/>
          <w:color w:val="C00000"/>
        </w:rPr>
        <w:t>_____________________________________________________</w:t>
      </w:r>
      <w:r>
        <w:rPr>
          <w:rFonts w:asciiTheme="minorHAnsi" w:hAnsiTheme="minorHAnsi"/>
          <w:color w:val="C00000"/>
        </w:rPr>
        <w:t>__________</w:t>
      </w:r>
      <w:r w:rsidR="0032487C">
        <w:rPr>
          <w:rFonts w:asciiTheme="minorHAnsi" w:hAnsiTheme="minorHAnsi"/>
          <w:color w:val="C00000"/>
        </w:rPr>
        <w:t>______</w:t>
      </w:r>
      <w:r>
        <w:rPr>
          <w:rFonts w:asciiTheme="minorHAnsi" w:hAnsiTheme="minorHAnsi"/>
          <w:color w:val="C00000"/>
        </w:rPr>
        <w:t>_________</w:t>
      </w:r>
      <w:r w:rsidR="0032487C">
        <w:rPr>
          <w:rFonts w:asciiTheme="minorHAnsi" w:hAnsiTheme="minorHAnsi"/>
          <w:color w:val="C00000"/>
        </w:rPr>
        <w:t>___</w:t>
      </w:r>
      <w:r>
        <w:rPr>
          <w:rFonts w:asciiTheme="minorHAnsi" w:hAnsiTheme="minorHAnsi"/>
          <w:color w:val="C00000"/>
        </w:rPr>
        <w:t>____</w:t>
      </w:r>
    </w:p>
    <w:p w:rsidR="00210787" w:rsidRPr="00210787" w:rsidRDefault="00FF4127" w:rsidP="0021078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Impact on Mortality of Different Network Systems in the Treatment of ST-segment Elevation Acute Myocardial Infarction. </w:t>
      </w:r>
      <w:proofErr w:type="spellStart"/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Spanish</w:t>
      </w:r>
      <w:proofErr w:type="spellEnd"/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F41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Experience</w:t>
      </w:r>
      <w:proofErr w:type="spellEnd"/>
    </w:p>
    <w:p w:rsidR="00FF4127" w:rsidRDefault="00210787" w:rsidP="00210787">
      <w:pPr>
        <w:spacing w:after="200" w:line="276" w:lineRule="auto"/>
        <w:rPr>
          <w:rFonts w:asciiTheme="minorHAnsi" w:hAnsiTheme="minorHAnsi"/>
          <w:color w:val="C00000"/>
          <w:lang w:val="en-US"/>
        </w:rPr>
      </w:pPr>
      <w:r w:rsidRPr="00210787">
        <w:rPr>
          <w:rFonts w:asciiTheme="minorHAnsi" w:hAnsiTheme="minorHAnsi"/>
          <w:color w:val="C00000"/>
        </w:rPr>
        <w:t>______________________________________________</w:t>
      </w:r>
      <w:r w:rsidR="004E45E8">
        <w:rPr>
          <w:rFonts w:asciiTheme="minorHAnsi" w:hAnsiTheme="minorHAnsi"/>
          <w:color w:val="C00000"/>
        </w:rPr>
        <w:t>_________________________</w:t>
      </w:r>
      <w:r w:rsidR="0032487C">
        <w:rPr>
          <w:rFonts w:asciiTheme="minorHAnsi" w:hAnsiTheme="minorHAnsi"/>
          <w:color w:val="C00000"/>
        </w:rPr>
        <w:t>_________</w:t>
      </w:r>
      <w:r w:rsidR="004E45E8">
        <w:rPr>
          <w:rFonts w:asciiTheme="minorHAnsi" w:hAnsiTheme="minorHAnsi"/>
          <w:color w:val="C00000"/>
        </w:rPr>
        <w:t>______</w:t>
      </w:r>
    </w:p>
    <w:p w:rsidR="00FF4127" w:rsidRPr="006A373D" w:rsidRDefault="00FF4127" w:rsidP="00FF4127">
      <w:pPr>
        <w:pStyle w:val="Ttulo1"/>
        <w:jc w:val="both"/>
        <w:rPr>
          <w:b w:val="0"/>
          <w:szCs w:val="22"/>
        </w:rPr>
      </w:pPr>
      <w:r w:rsidRPr="006A373D">
        <w:rPr>
          <w:szCs w:val="22"/>
        </w:rPr>
        <w:t>Origen</w:t>
      </w:r>
      <w:r>
        <w:rPr>
          <w:szCs w:val="22"/>
        </w:rPr>
        <w:t xml:space="preserve"> </w:t>
      </w:r>
      <w:r w:rsidRPr="006A373D">
        <w:rPr>
          <w:szCs w:val="22"/>
        </w:rPr>
        <w:t>de</w:t>
      </w:r>
      <w:r>
        <w:rPr>
          <w:szCs w:val="22"/>
        </w:rPr>
        <w:t xml:space="preserve"> </w:t>
      </w:r>
      <w:r w:rsidRPr="006A373D">
        <w:rPr>
          <w:szCs w:val="22"/>
        </w:rPr>
        <w:t>los</w:t>
      </w:r>
      <w:r>
        <w:rPr>
          <w:szCs w:val="22"/>
        </w:rPr>
        <w:t xml:space="preserve"> </w:t>
      </w:r>
      <w:r w:rsidRPr="006A373D">
        <w:rPr>
          <w:szCs w:val="22"/>
        </w:rPr>
        <w:t>datos.</w:t>
      </w:r>
      <w:r>
        <w:rPr>
          <w:szCs w:val="22"/>
        </w:rPr>
        <w:t xml:space="preserve"> </w:t>
      </w:r>
      <w:r w:rsidRPr="006A373D">
        <w:rPr>
          <w:szCs w:val="22"/>
        </w:rPr>
        <w:t>Bases</w:t>
      </w:r>
      <w:r>
        <w:rPr>
          <w:szCs w:val="22"/>
        </w:rPr>
        <w:t xml:space="preserve"> </w:t>
      </w:r>
      <w:r w:rsidRPr="006A373D">
        <w:rPr>
          <w:szCs w:val="22"/>
        </w:rPr>
        <w:t>de</w:t>
      </w:r>
      <w:r>
        <w:rPr>
          <w:szCs w:val="22"/>
        </w:rPr>
        <w:t xml:space="preserve"> </w:t>
      </w:r>
      <w:r w:rsidRPr="006A373D">
        <w:rPr>
          <w:szCs w:val="22"/>
        </w:rPr>
        <w:t>datos</w:t>
      </w:r>
      <w:r>
        <w:rPr>
          <w:szCs w:val="22"/>
        </w:rPr>
        <w:t xml:space="preserve"> </w:t>
      </w:r>
      <w:r w:rsidRPr="006A373D">
        <w:rPr>
          <w:szCs w:val="22"/>
        </w:rPr>
        <w:t>del</w:t>
      </w:r>
      <w:r>
        <w:rPr>
          <w:szCs w:val="22"/>
        </w:rPr>
        <w:t xml:space="preserve"> </w:t>
      </w:r>
      <w:r w:rsidRPr="006A373D">
        <w:rPr>
          <w:szCs w:val="22"/>
        </w:rPr>
        <w:t>Sistema</w:t>
      </w:r>
      <w:r>
        <w:rPr>
          <w:szCs w:val="22"/>
        </w:rPr>
        <w:t xml:space="preserve"> </w:t>
      </w:r>
      <w:r w:rsidRPr="006A373D">
        <w:rPr>
          <w:szCs w:val="22"/>
        </w:rPr>
        <w:t>Nacional</w:t>
      </w:r>
      <w:r>
        <w:rPr>
          <w:szCs w:val="22"/>
        </w:rPr>
        <w:t xml:space="preserve"> </w:t>
      </w:r>
      <w:r w:rsidRPr="006A373D">
        <w:rPr>
          <w:szCs w:val="22"/>
        </w:rPr>
        <w:t>de</w:t>
      </w:r>
      <w:r>
        <w:rPr>
          <w:szCs w:val="22"/>
        </w:rPr>
        <w:t xml:space="preserve"> </w:t>
      </w:r>
      <w:r w:rsidRPr="006A373D">
        <w:rPr>
          <w:szCs w:val="22"/>
        </w:rPr>
        <w:t>Salud</w:t>
      </w:r>
    </w:p>
    <w:p w:rsidR="00FF4127" w:rsidRPr="006A373D" w:rsidRDefault="00FF4127" w:rsidP="00FF4127">
      <w:pPr>
        <w:ind w:firstLine="284"/>
        <w:jc w:val="both"/>
      </w:pPr>
      <w:r w:rsidRPr="006A373D">
        <w:t>Los</w:t>
      </w:r>
      <w:r>
        <w:t xml:space="preserve"> </w:t>
      </w:r>
      <w:r w:rsidRPr="006A373D">
        <w:t>datos</w:t>
      </w:r>
      <w:r>
        <w:t xml:space="preserve"> </w:t>
      </w:r>
      <w:r w:rsidRPr="006A373D">
        <w:t>utilizados</w:t>
      </w:r>
      <w:r>
        <w:t xml:space="preserve"> </w:t>
      </w:r>
      <w:r w:rsidRPr="006A373D">
        <w:t>en</w:t>
      </w:r>
      <w:r>
        <w:t xml:space="preserve"> </w:t>
      </w:r>
      <w:r w:rsidRPr="006A373D">
        <w:t>este</w:t>
      </w:r>
      <w:r>
        <w:t xml:space="preserve"> </w:t>
      </w:r>
      <w:r w:rsidRPr="006A373D">
        <w:t>se</w:t>
      </w:r>
      <w:r>
        <w:t xml:space="preserve"> </w:t>
      </w:r>
      <w:r w:rsidRPr="006A373D">
        <w:t>han</w:t>
      </w:r>
      <w:r>
        <w:t xml:space="preserve"> </w:t>
      </w:r>
      <w:r w:rsidRPr="006A373D">
        <w:t>obtenido</w:t>
      </w:r>
      <w:r>
        <w:t xml:space="preserve"> </w:t>
      </w:r>
      <w:r w:rsidRPr="006A373D">
        <w:t>del</w:t>
      </w:r>
      <w:r>
        <w:t xml:space="preserve"> </w:t>
      </w:r>
      <w:r w:rsidRPr="006A373D">
        <w:t>conjunto</w:t>
      </w:r>
      <w:r>
        <w:t xml:space="preserve"> </w:t>
      </w:r>
      <w:r w:rsidRPr="006A373D">
        <w:t>mínimo</w:t>
      </w:r>
      <w:r>
        <w:t xml:space="preserve"> </w:t>
      </w:r>
      <w:r w:rsidRPr="006A373D">
        <w:t>básico</w:t>
      </w:r>
      <w:r>
        <w:t xml:space="preserve"> </w:t>
      </w:r>
      <w:r w:rsidRPr="006A373D">
        <w:t>de</w:t>
      </w:r>
      <w:r>
        <w:t xml:space="preserve"> </w:t>
      </w:r>
      <w:r w:rsidRPr="006A373D">
        <w:t>datos</w:t>
      </w:r>
      <w:r>
        <w:t xml:space="preserve"> </w:t>
      </w:r>
      <w:r w:rsidRPr="006A373D">
        <w:t>(CMBD),</w:t>
      </w:r>
      <w:r>
        <w:t xml:space="preserve"> </w:t>
      </w:r>
      <w:r w:rsidRPr="006A373D">
        <w:t>del</w:t>
      </w:r>
      <w:r>
        <w:t xml:space="preserve"> </w:t>
      </w:r>
      <w:r w:rsidRPr="006A373D">
        <w:t>Sistema</w:t>
      </w:r>
      <w:r>
        <w:t xml:space="preserve"> </w:t>
      </w:r>
      <w:r w:rsidRPr="006A373D">
        <w:t>Nacional</w:t>
      </w:r>
      <w:r>
        <w:t xml:space="preserve"> </w:t>
      </w:r>
      <w:r w:rsidRPr="006A373D">
        <w:t>de</w:t>
      </w:r>
      <w:r>
        <w:t xml:space="preserve"> </w:t>
      </w:r>
      <w:r w:rsidRPr="006A373D">
        <w:t>Salud,</w:t>
      </w:r>
      <w:r>
        <w:t xml:space="preserve"> </w:t>
      </w:r>
      <w:r w:rsidRPr="006A373D">
        <w:t>que</w:t>
      </w:r>
      <w:r>
        <w:t xml:space="preserve"> </w:t>
      </w:r>
      <w:r w:rsidRPr="006A373D">
        <w:t>incluye</w:t>
      </w:r>
      <w:r>
        <w:t xml:space="preserve"> </w:t>
      </w:r>
      <w:r w:rsidRPr="006A373D">
        <w:t>las</w:t>
      </w:r>
      <w:r>
        <w:t xml:space="preserve"> </w:t>
      </w:r>
      <w:r w:rsidRPr="006A373D">
        <w:t>altas</w:t>
      </w:r>
      <w:r>
        <w:t xml:space="preserve"> </w:t>
      </w:r>
      <w:r w:rsidRPr="006A373D">
        <w:t>registradas</w:t>
      </w:r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hospitales</w:t>
      </w:r>
      <w:r>
        <w:t xml:space="preserve"> </w:t>
      </w:r>
      <w:r w:rsidRPr="006A373D">
        <w:t>públicos</w:t>
      </w:r>
      <w:r>
        <w:t xml:space="preserve"> </w:t>
      </w:r>
      <w:r w:rsidRPr="006A373D">
        <w:t>generales</w:t>
      </w:r>
      <w:r>
        <w:t xml:space="preserve"> </w:t>
      </w:r>
      <w:r w:rsidRPr="006A373D">
        <w:t>(de</w:t>
      </w:r>
      <w:r>
        <w:t xml:space="preserve"> </w:t>
      </w:r>
      <w:r w:rsidRPr="006A373D">
        <w:t>la</w:t>
      </w:r>
      <w:r>
        <w:t xml:space="preserve"> </w:t>
      </w:r>
      <w:r w:rsidRPr="006A373D">
        <w:t>red</w:t>
      </w:r>
      <w:r>
        <w:t xml:space="preserve"> </w:t>
      </w:r>
      <w:r w:rsidRPr="006A373D">
        <w:t>de</w:t>
      </w:r>
      <w:r>
        <w:t xml:space="preserve"> </w:t>
      </w:r>
      <w:r w:rsidRPr="006A373D">
        <w:t>utilización</w:t>
      </w:r>
      <w:r>
        <w:t xml:space="preserve"> </w:t>
      </w:r>
      <w:r w:rsidRPr="006A373D">
        <w:t>pública</w:t>
      </w:r>
      <w:r>
        <w:t xml:space="preserve"> </w:t>
      </w:r>
      <w:r w:rsidRPr="006A373D">
        <w:t>y/o</w:t>
      </w:r>
      <w:r>
        <w:t xml:space="preserve"> </w:t>
      </w:r>
      <w:r w:rsidRPr="006A373D">
        <w:t>administrados</w:t>
      </w:r>
      <w:r>
        <w:t xml:space="preserve"> </w:t>
      </w:r>
      <w:r w:rsidRPr="006A373D">
        <w:t>públicamente</w:t>
      </w:r>
      <w:r>
        <w:t xml:space="preserve"> </w:t>
      </w:r>
      <w:r w:rsidRPr="006A373D">
        <w:t>o</w:t>
      </w:r>
      <w:r>
        <w:t xml:space="preserve"> </w:t>
      </w:r>
      <w:r w:rsidRPr="006A373D">
        <w:t>con</w:t>
      </w:r>
      <w:r>
        <w:t xml:space="preserve"> </w:t>
      </w:r>
      <w:r w:rsidRPr="006A373D">
        <w:t>concierto</w:t>
      </w:r>
      <w:r>
        <w:t xml:space="preserve"> </w:t>
      </w:r>
      <w:r w:rsidRPr="006A373D">
        <w:t>sustitutorio)</w:t>
      </w:r>
      <w:r>
        <w:t xml:space="preserve"> </w:t>
      </w:r>
      <w:r w:rsidRPr="006A373D">
        <w:t>y</w:t>
      </w:r>
      <w:r>
        <w:t xml:space="preserve"> </w:t>
      </w:r>
      <w:r w:rsidRPr="006A373D">
        <w:t>utiliza</w:t>
      </w:r>
      <w:r>
        <w:t xml:space="preserve"> </w:t>
      </w:r>
      <w:r w:rsidRPr="006A373D">
        <w:t>la</w:t>
      </w:r>
      <w:r>
        <w:t xml:space="preserve"> </w:t>
      </w:r>
      <w:r w:rsidRPr="006A373D">
        <w:t>Clasificación</w:t>
      </w:r>
      <w:r>
        <w:t xml:space="preserve"> </w:t>
      </w:r>
      <w:r w:rsidRPr="006A373D">
        <w:t>Internacional</w:t>
      </w:r>
      <w:r>
        <w:t xml:space="preserve"> </w:t>
      </w:r>
      <w:r w:rsidRPr="006A373D">
        <w:t>de</w:t>
      </w:r>
      <w:r>
        <w:t xml:space="preserve"> </w:t>
      </w:r>
      <w:r w:rsidRPr="006A373D">
        <w:t>Enfermedades</w:t>
      </w:r>
      <w:r>
        <w:t xml:space="preserve"> </w:t>
      </w:r>
      <w:r w:rsidRPr="006A373D">
        <w:t>–novena</w:t>
      </w:r>
      <w:r>
        <w:t xml:space="preserve"> </w:t>
      </w:r>
      <w:r w:rsidRPr="006A373D">
        <w:t>revisión–</w:t>
      </w:r>
      <w:r>
        <w:t xml:space="preserve"> </w:t>
      </w:r>
      <w:r w:rsidRPr="006A373D">
        <w:t>modificación</w:t>
      </w:r>
      <w:r>
        <w:t xml:space="preserve"> </w:t>
      </w:r>
      <w:r w:rsidRPr="006A373D">
        <w:t>clínica</w:t>
      </w:r>
      <w:r>
        <w:t xml:space="preserve"> </w:t>
      </w:r>
      <w:r w:rsidRPr="006A373D">
        <w:t>(CIE-9-MC)</w:t>
      </w:r>
      <w:r>
        <w:t xml:space="preserve"> </w:t>
      </w:r>
      <w:r w:rsidRPr="006A373D">
        <w:t>para</w:t>
      </w:r>
      <w:r>
        <w:t xml:space="preserve"> </w:t>
      </w:r>
      <w:r w:rsidRPr="006A373D">
        <w:t>codificar</w:t>
      </w:r>
      <w:r>
        <w:t xml:space="preserve"> </w:t>
      </w:r>
      <w:r w:rsidRPr="006A373D">
        <w:t>los</w:t>
      </w:r>
      <w:r>
        <w:t xml:space="preserve"> </w:t>
      </w:r>
      <w:r w:rsidRPr="006A373D">
        <w:t>diagnósticos</w:t>
      </w:r>
      <w:r>
        <w:t xml:space="preserve"> </w:t>
      </w:r>
      <w:r w:rsidRPr="006A373D">
        <w:t>y</w:t>
      </w:r>
      <w:r>
        <w:t xml:space="preserve"> </w:t>
      </w:r>
      <w:r w:rsidRPr="006A373D">
        <w:t>procedimientos</w:t>
      </w:r>
      <w:r w:rsidRPr="006A373D">
        <w:rPr>
          <w:vertAlign w:val="superscript"/>
        </w:rPr>
        <w:t>1</w:t>
      </w:r>
      <w:r w:rsidRPr="006A373D">
        <w:t>.</w:t>
      </w:r>
      <w:r>
        <w:t xml:space="preserve"> </w:t>
      </w:r>
    </w:p>
    <w:p w:rsidR="00FF4127" w:rsidRPr="006A373D" w:rsidRDefault="00FF4127" w:rsidP="00FF4127">
      <w:pPr>
        <w:ind w:firstLine="284"/>
        <w:jc w:val="both"/>
      </w:pPr>
      <w:r w:rsidRPr="006A373D">
        <w:t>El</w:t>
      </w:r>
      <w:r>
        <w:t xml:space="preserve"> </w:t>
      </w:r>
      <w:r w:rsidRPr="006A373D">
        <w:t>CMBD</w:t>
      </w:r>
      <w:r>
        <w:t xml:space="preserve"> </w:t>
      </w:r>
      <w:r w:rsidRPr="006A373D">
        <w:t>recoge</w:t>
      </w:r>
      <w:r>
        <w:t xml:space="preserve"> </w:t>
      </w:r>
      <w:r w:rsidRPr="006A373D">
        <w:t>3.316.949</w:t>
      </w:r>
      <w:r>
        <w:t xml:space="preserve"> </w:t>
      </w:r>
      <w:r w:rsidRPr="006A373D">
        <w:t>episodios</w:t>
      </w:r>
      <w:r>
        <w:t xml:space="preserve"> </w:t>
      </w:r>
      <w:r w:rsidRPr="006A373D">
        <w:t>de</w:t>
      </w:r>
      <w:r>
        <w:t xml:space="preserve"> </w:t>
      </w:r>
      <w:r w:rsidRPr="006A373D">
        <w:t>alta</w:t>
      </w:r>
      <w:r>
        <w:t xml:space="preserve"> </w:t>
      </w:r>
      <w:r w:rsidRPr="006A373D">
        <w:t>con</w:t>
      </w:r>
      <w:r>
        <w:t xml:space="preserve"> </w:t>
      </w:r>
      <w:r w:rsidRPr="006A373D">
        <w:t>diagnóstico</w:t>
      </w:r>
      <w:r>
        <w:t xml:space="preserve"> </w:t>
      </w:r>
      <w:r w:rsidRPr="006A373D">
        <w:t>principal</w:t>
      </w:r>
      <w:r>
        <w:t xml:space="preserve"> </w:t>
      </w:r>
      <w:r w:rsidRPr="006A373D">
        <w:t>de</w:t>
      </w:r>
      <w:r>
        <w:t xml:space="preserve"> </w:t>
      </w:r>
      <w:r w:rsidRPr="006A373D">
        <w:t>enfermedades</w:t>
      </w:r>
      <w:r>
        <w:t xml:space="preserve"> </w:t>
      </w:r>
      <w:r w:rsidRPr="006A373D">
        <w:t>del</w:t>
      </w:r>
      <w:r>
        <w:t xml:space="preserve"> </w:t>
      </w:r>
      <w:r w:rsidRPr="006A373D">
        <w:t>área</w:t>
      </w:r>
      <w:r>
        <w:t xml:space="preserve"> </w:t>
      </w:r>
      <w:r w:rsidRPr="006A373D">
        <w:t>del</w:t>
      </w:r>
      <w:r>
        <w:t xml:space="preserve"> </w:t>
      </w:r>
      <w:r w:rsidRPr="006A373D">
        <w:t>corazón</w:t>
      </w:r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hospitales</w:t>
      </w:r>
      <w:r>
        <w:t xml:space="preserve"> </w:t>
      </w:r>
      <w:r w:rsidRPr="006A373D">
        <w:t>del</w:t>
      </w:r>
      <w:r>
        <w:t xml:space="preserve"> </w:t>
      </w:r>
      <w:r w:rsidRPr="006A373D">
        <w:t>Sistema</w:t>
      </w:r>
      <w:r>
        <w:t xml:space="preserve"> </w:t>
      </w:r>
      <w:r w:rsidRPr="006A373D">
        <w:t>Nacional</w:t>
      </w:r>
      <w:r>
        <w:t xml:space="preserve"> </w:t>
      </w:r>
      <w:r w:rsidRPr="006A373D">
        <w:t>de</w:t>
      </w:r>
      <w:r>
        <w:t xml:space="preserve"> </w:t>
      </w:r>
      <w:r w:rsidRPr="006A373D">
        <w:t>Salud</w:t>
      </w:r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años</w:t>
      </w:r>
      <w:r>
        <w:t xml:space="preserve"> </w:t>
      </w:r>
      <w:r w:rsidRPr="006A373D">
        <w:t>2003</w:t>
      </w:r>
      <w:r>
        <w:t xml:space="preserve"> </w:t>
      </w:r>
      <w:r w:rsidRPr="006A373D">
        <w:t>y</w:t>
      </w:r>
      <w:r>
        <w:t xml:space="preserve"> </w:t>
      </w:r>
      <w:r w:rsidRPr="006A373D">
        <w:t>2012,</w:t>
      </w:r>
      <w:r>
        <w:t xml:space="preserve"> </w:t>
      </w:r>
      <w:r w:rsidRPr="006A373D">
        <w:t>entendiendo</w:t>
      </w:r>
      <w:r>
        <w:t xml:space="preserve"> </w:t>
      </w:r>
      <w:r w:rsidRPr="006A373D">
        <w:t>por</w:t>
      </w:r>
      <w:r>
        <w:t xml:space="preserve"> </w:t>
      </w:r>
      <w:r w:rsidRPr="006A373D">
        <w:t>enfermedades</w:t>
      </w:r>
      <w:r>
        <w:t xml:space="preserve"> </w:t>
      </w:r>
      <w:r w:rsidRPr="006A373D">
        <w:t>del</w:t>
      </w:r>
      <w:r>
        <w:t xml:space="preserve"> </w:t>
      </w:r>
      <w:r w:rsidRPr="006A373D">
        <w:t>área</w:t>
      </w:r>
      <w:r>
        <w:t xml:space="preserve"> </w:t>
      </w:r>
      <w:r w:rsidRPr="006A373D">
        <w:t>del</w:t>
      </w:r>
      <w:r>
        <w:t xml:space="preserve"> </w:t>
      </w:r>
      <w:r w:rsidRPr="006A373D">
        <w:t>corazón</w:t>
      </w:r>
      <w:r>
        <w:t xml:space="preserve"> </w:t>
      </w:r>
      <w:r w:rsidRPr="006A373D">
        <w:t>aquellas</w:t>
      </w:r>
      <w:r>
        <w:t xml:space="preserve"> </w:t>
      </w:r>
      <w:r w:rsidRPr="006A373D">
        <w:t>cuyo</w:t>
      </w:r>
      <w:r>
        <w:t xml:space="preserve"> </w:t>
      </w:r>
      <w:r w:rsidRPr="006A373D">
        <w:t>diagnóstico</w:t>
      </w:r>
      <w:r>
        <w:t xml:space="preserve"> </w:t>
      </w:r>
      <w:r w:rsidRPr="006A373D">
        <w:t>principal</w:t>
      </w:r>
      <w:r>
        <w:t xml:space="preserve"> </w:t>
      </w:r>
      <w:r w:rsidRPr="006A373D">
        <w:t>está</w:t>
      </w:r>
      <w:r>
        <w:t xml:space="preserve"> </w:t>
      </w:r>
      <w:r w:rsidRPr="006A373D">
        <w:t>comprendido</w:t>
      </w:r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dígitos</w:t>
      </w:r>
      <w:r>
        <w:t xml:space="preserve"> </w:t>
      </w:r>
      <w:r w:rsidRPr="006A373D">
        <w:t>de</w:t>
      </w:r>
      <w:r>
        <w:t xml:space="preserve"> </w:t>
      </w:r>
      <w:r w:rsidRPr="006A373D">
        <w:t>la</w:t>
      </w:r>
      <w:r>
        <w:t xml:space="preserve"> </w:t>
      </w:r>
      <w:r w:rsidRPr="006A373D">
        <w:t>CIE-9-MC</w:t>
      </w:r>
      <w:r>
        <w:t xml:space="preserve"> </w:t>
      </w:r>
      <w:r w:rsidRPr="006A373D">
        <w:t>que</w:t>
      </w:r>
      <w:r>
        <w:t xml:space="preserve"> </w:t>
      </w:r>
      <w:r w:rsidRPr="006A373D">
        <w:t>se</w:t>
      </w:r>
      <w:r>
        <w:t xml:space="preserve"> </w:t>
      </w:r>
      <w:r w:rsidRPr="006A373D">
        <w:t>recogen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tabla</w:t>
      </w:r>
      <w:r>
        <w:t xml:space="preserve"> </w:t>
      </w:r>
      <w:r w:rsidRPr="006A373D">
        <w:t>1</w:t>
      </w:r>
      <w:bookmarkStart w:id="0" w:name="_Ref327255946"/>
      <w:r w:rsidRPr="006A373D">
        <w:rPr>
          <w:vertAlign w:val="superscript"/>
        </w:rPr>
        <w:t>2</w:t>
      </w:r>
      <w:bookmarkEnd w:id="0"/>
      <w:r w:rsidRPr="006A373D">
        <w:t>.</w:t>
      </w:r>
    </w:p>
    <w:p w:rsidR="00FF4127" w:rsidRDefault="00FF4127" w:rsidP="00FF4127">
      <w:pPr>
        <w:ind w:firstLine="284"/>
        <w:jc w:val="both"/>
      </w:pPr>
      <w:r w:rsidRPr="006A373D">
        <w:t>Entre</w:t>
      </w:r>
      <w:r>
        <w:t xml:space="preserve"> </w:t>
      </w:r>
      <w:r w:rsidRPr="006A373D">
        <w:t>estos</w:t>
      </w:r>
      <w:r>
        <w:t xml:space="preserve"> </w:t>
      </w:r>
      <w:r w:rsidRPr="006A373D">
        <w:t>registros</w:t>
      </w:r>
      <w:r>
        <w:t xml:space="preserve"> </w:t>
      </w:r>
      <w:r w:rsidRPr="006A373D">
        <w:t>del</w:t>
      </w:r>
      <w:r>
        <w:t xml:space="preserve"> </w:t>
      </w:r>
      <w:r w:rsidRPr="006A373D">
        <w:t>CMBD</w:t>
      </w:r>
      <w:r>
        <w:t xml:space="preserve"> </w:t>
      </w:r>
      <w:r w:rsidRPr="006A373D">
        <w:t>se</w:t>
      </w:r>
      <w:r>
        <w:t xml:space="preserve"> </w:t>
      </w:r>
      <w:r w:rsidRPr="006A373D">
        <w:t>han</w:t>
      </w:r>
      <w:r>
        <w:t xml:space="preserve"> </w:t>
      </w:r>
      <w:r w:rsidRPr="006A373D">
        <w:t>seleccionado</w:t>
      </w:r>
      <w:r>
        <w:t xml:space="preserve"> </w:t>
      </w:r>
      <w:r w:rsidRPr="006A373D">
        <w:t>los</w:t>
      </w:r>
      <w:r>
        <w:t xml:space="preserve"> </w:t>
      </w:r>
      <w:r w:rsidRPr="006A373D">
        <w:t>302.471</w:t>
      </w:r>
      <w:r>
        <w:t xml:space="preserve"> </w:t>
      </w:r>
      <w:r w:rsidRPr="006A373D">
        <w:t>episodios</w:t>
      </w:r>
      <w:r>
        <w:t xml:space="preserve"> </w:t>
      </w:r>
      <w:r w:rsidRPr="006A373D">
        <w:t>con</w:t>
      </w:r>
      <w:r>
        <w:t xml:space="preserve"> </w:t>
      </w:r>
      <w:r w:rsidRPr="006A373D">
        <w:t>diagnóstico</w:t>
      </w:r>
      <w:r>
        <w:t xml:space="preserve"> </w:t>
      </w:r>
      <w:r w:rsidRPr="006A373D">
        <w:t>principal</w:t>
      </w:r>
      <w:r>
        <w:t xml:space="preserve"> </w:t>
      </w:r>
      <w:r w:rsidRPr="006A373D">
        <w:t>infart</w:t>
      </w:r>
      <w:r>
        <w:t>o agudo de miocardio</w:t>
      </w:r>
      <w:r w:rsidRPr="006A373D">
        <w:t>:</w:t>
      </w:r>
      <w:r>
        <w:t xml:space="preserve"> </w:t>
      </w:r>
      <w:r w:rsidRPr="006A373D">
        <w:t>códigos</w:t>
      </w:r>
      <w:r>
        <w:t xml:space="preserve"> </w:t>
      </w:r>
      <w:proofErr w:type="gramStart"/>
      <w:r w:rsidRPr="006A373D">
        <w:t>410.*</w:t>
      </w:r>
      <w:proofErr w:type="gramEnd"/>
      <w:r w:rsidRPr="006A373D">
        <w:t>1</w:t>
      </w:r>
      <w:r>
        <w:t xml:space="preserve"> de la CIE-9-CM, que incluye </w:t>
      </w:r>
      <w:r w:rsidRPr="006A373D">
        <w:t>infart</w:t>
      </w:r>
      <w:r>
        <w:t xml:space="preserve">o agudo de miocardio </w:t>
      </w:r>
      <w:r w:rsidRPr="006A373D">
        <w:t>con</w:t>
      </w:r>
      <w:r>
        <w:t xml:space="preserve"> </w:t>
      </w:r>
      <w:r w:rsidRPr="006A373D">
        <w:t>y</w:t>
      </w:r>
      <w:r>
        <w:t xml:space="preserve"> </w:t>
      </w:r>
      <w:r w:rsidRPr="006A373D">
        <w:t>sin</w:t>
      </w:r>
      <w:r>
        <w:t xml:space="preserve"> </w:t>
      </w:r>
      <w:r w:rsidRPr="006A373D">
        <w:t>elevación</w:t>
      </w:r>
      <w:r>
        <w:t xml:space="preserve"> </w:t>
      </w:r>
      <w:r w:rsidRPr="006A373D">
        <w:t>persistente</w:t>
      </w:r>
      <w:r>
        <w:t xml:space="preserve"> </w:t>
      </w:r>
      <w:r w:rsidRPr="006A373D">
        <w:t>del</w:t>
      </w:r>
      <w:r>
        <w:t xml:space="preserve"> </w:t>
      </w:r>
      <w:r w:rsidRPr="006A373D">
        <w:t>segmento</w:t>
      </w:r>
      <w:r>
        <w:t xml:space="preserve"> </w:t>
      </w:r>
      <w:r w:rsidRPr="006A373D">
        <w:t>ST,</w:t>
      </w:r>
      <w:r>
        <w:t xml:space="preserve"> </w:t>
      </w:r>
      <w:r w:rsidRPr="006A373D">
        <w:t>exceptuando</w:t>
      </w:r>
      <w:r>
        <w:t xml:space="preserve"> </w:t>
      </w:r>
      <w:r w:rsidRPr="006A373D">
        <w:t>los</w:t>
      </w:r>
      <w:r>
        <w:t xml:space="preserve"> </w:t>
      </w:r>
      <w:r w:rsidRPr="006A373D">
        <w:t>episodios</w:t>
      </w:r>
      <w:r>
        <w:t xml:space="preserve"> </w:t>
      </w:r>
      <w:r w:rsidRPr="006A373D">
        <w:t>de</w:t>
      </w:r>
      <w:r>
        <w:t xml:space="preserve"> </w:t>
      </w:r>
      <w:r w:rsidRPr="006A373D">
        <w:t>atención</w:t>
      </w:r>
      <w:r>
        <w:t xml:space="preserve"> </w:t>
      </w:r>
      <w:r w:rsidRPr="006A373D">
        <w:t>subsiguiente</w:t>
      </w:r>
      <w:r>
        <w:t xml:space="preserve"> </w:t>
      </w:r>
      <w:r w:rsidRPr="006A373D">
        <w:t>(aquellos</w:t>
      </w:r>
      <w:r>
        <w:t xml:space="preserve"> </w:t>
      </w:r>
      <w:r w:rsidRPr="006A373D">
        <w:t>otros</w:t>
      </w:r>
      <w:r>
        <w:t xml:space="preserve"> </w:t>
      </w:r>
      <w:r w:rsidRPr="006A373D">
        <w:t>que,</w:t>
      </w:r>
      <w:r>
        <w:t xml:space="preserve"> </w:t>
      </w:r>
      <w:r w:rsidRPr="006A373D">
        <w:t>siempre</w:t>
      </w:r>
      <w:r>
        <w:t xml:space="preserve"> </w:t>
      </w:r>
      <w:r w:rsidRPr="006A373D">
        <w:t>dentro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ocho</w:t>
      </w:r>
      <w:r>
        <w:t xml:space="preserve"> </w:t>
      </w:r>
      <w:r w:rsidRPr="006A373D">
        <w:t>primeras</w:t>
      </w:r>
      <w:r>
        <w:t xml:space="preserve"> </w:t>
      </w:r>
      <w:r w:rsidRPr="006A373D">
        <w:t>semanas,</w:t>
      </w:r>
      <w:r>
        <w:t xml:space="preserve"> </w:t>
      </w:r>
      <w:r w:rsidRPr="006A373D">
        <w:t>tuviera</w:t>
      </w:r>
      <w:r>
        <w:t xml:space="preserve"> </w:t>
      </w:r>
      <w:r w:rsidRPr="006A373D">
        <w:t>el</w:t>
      </w:r>
      <w:r>
        <w:t xml:space="preserve"> </w:t>
      </w:r>
      <w:r w:rsidRPr="006A373D">
        <w:t>paciente</w:t>
      </w:r>
      <w:r>
        <w:t xml:space="preserve"> </w:t>
      </w:r>
      <w:r w:rsidRPr="006A373D">
        <w:t>para</w:t>
      </w:r>
      <w:r>
        <w:t xml:space="preserve"> </w:t>
      </w:r>
      <w:r w:rsidRPr="006A373D">
        <w:t>observación,</w:t>
      </w:r>
      <w:r>
        <w:t xml:space="preserve"> </w:t>
      </w:r>
      <w:r w:rsidRPr="006A373D">
        <w:t>estudio,</w:t>
      </w:r>
      <w:r>
        <w:t xml:space="preserve"> </w:t>
      </w:r>
      <w:r w:rsidRPr="006A373D">
        <w:t>seguimiento,</w:t>
      </w:r>
      <w:r>
        <w:t xml:space="preserve"> </w:t>
      </w:r>
      <w:r w:rsidRPr="006A373D">
        <w:t>convalecencia</w:t>
      </w:r>
      <w:r>
        <w:t xml:space="preserve"> </w:t>
      </w:r>
      <w:r w:rsidRPr="006A373D">
        <w:t>o</w:t>
      </w:r>
      <w:r>
        <w:t xml:space="preserve"> </w:t>
      </w:r>
      <w:r w:rsidRPr="006A373D">
        <w:t>tratamiento</w:t>
      </w:r>
      <w:r w:rsidRPr="006A373D">
        <w:rPr>
          <w:vertAlign w:val="superscript"/>
        </w:rPr>
        <w:t>3,4</w:t>
      </w:r>
      <w:r w:rsidRPr="006A373D">
        <w:t>).</w:t>
      </w:r>
      <w:r>
        <w:t xml:space="preserve"> </w:t>
      </w:r>
    </w:p>
    <w:p w:rsidR="00FF4127" w:rsidRPr="006A373D" w:rsidRDefault="00FF4127" w:rsidP="00FF4127">
      <w:pPr>
        <w:ind w:firstLine="284"/>
        <w:jc w:val="both"/>
      </w:pPr>
    </w:p>
    <w:p w:rsidR="00FF4127" w:rsidRPr="006A373D" w:rsidRDefault="00FF4127" w:rsidP="00FF4127">
      <w:pPr>
        <w:pStyle w:val="Ttulo1"/>
        <w:jc w:val="both"/>
        <w:rPr>
          <w:b w:val="0"/>
          <w:szCs w:val="22"/>
        </w:rPr>
      </w:pPr>
      <w:r w:rsidRPr="006A373D">
        <w:rPr>
          <w:szCs w:val="22"/>
        </w:rPr>
        <w:t>Ajuste</w:t>
      </w:r>
      <w:r>
        <w:rPr>
          <w:szCs w:val="22"/>
        </w:rPr>
        <w:t xml:space="preserve"> </w:t>
      </w:r>
      <w:r w:rsidRPr="006A373D">
        <w:rPr>
          <w:szCs w:val="22"/>
        </w:rPr>
        <w:t>por</w:t>
      </w:r>
      <w:r>
        <w:rPr>
          <w:szCs w:val="22"/>
        </w:rPr>
        <w:t xml:space="preserve"> </w:t>
      </w:r>
      <w:r w:rsidRPr="006A373D">
        <w:rPr>
          <w:szCs w:val="22"/>
        </w:rPr>
        <w:t>riesgo</w:t>
      </w:r>
      <w:r>
        <w:rPr>
          <w:szCs w:val="22"/>
        </w:rPr>
        <w:t xml:space="preserve"> </w:t>
      </w:r>
      <w:r w:rsidRPr="006A373D">
        <w:rPr>
          <w:szCs w:val="22"/>
        </w:rPr>
        <w:t>de</w:t>
      </w:r>
      <w:r>
        <w:rPr>
          <w:szCs w:val="22"/>
        </w:rPr>
        <w:t xml:space="preserve"> </w:t>
      </w:r>
      <w:r w:rsidRPr="006A373D">
        <w:rPr>
          <w:szCs w:val="22"/>
        </w:rPr>
        <w:t>la</w:t>
      </w:r>
      <w:r>
        <w:rPr>
          <w:szCs w:val="22"/>
        </w:rPr>
        <w:t xml:space="preserve"> </w:t>
      </w:r>
      <w:r w:rsidRPr="006A373D">
        <w:rPr>
          <w:szCs w:val="22"/>
        </w:rPr>
        <w:t>mortalidad</w:t>
      </w:r>
      <w:r>
        <w:rPr>
          <w:szCs w:val="22"/>
        </w:rPr>
        <w:t xml:space="preserve"> </w:t>
      </w:r>
      <w:r w:rsidRPr="006A373D">
        <w:rPr>
          <w:szCs w:val="22"/>
        </w:rPr>
        <w:t>intrahospitalaria</w:t>
      </w:r>
      <w:r>
        <w:rPr>
          <w:szCs w:val="22"/>
        </w:rPr>
        <w:t xml:space="preserve"> </w:t>
      </w:r>
      <w:r w:rsidRPr="006A373D">
        <w:rPr>
          <w:szCs w:val="22"/>
        </w:rPr>
        <w:t>por</w:t>
      </w:r>
      <w:r>
        <w:rPr>
          <w:szCs w:val="22"/>
        </w:rPr>
        <w:t xml:space="preserve"> </w:t>
      </w:r>
      <w:r w:rsidRPr="006A373D">
        <w:rPr>
          <w:szCs w:val="22"/>
        </w:rPr>
        <w:t>infarto</w:t>
      </w:r>
      <w:r>
        <w:rPr>
          <w:szCs w:val="22"/>
        </w:rPr>
        <w:t xml:space="preserve"> </w:t>
      </w:r>
      <w:r w:rsidRPr="006A373D">
        <w:rPr>
          <w:szCs w:val="22"/>
        </w:rPr>
        <w:t>agudo</w:t>
      </w:r>
      <w:r>
        <w:rPr>
          <w:szCs w:val="22"/>
        </w:rPr>
        <w:t xml:space="preserve"> </w:t>
      </w:r>
      <w:r w:rsidRPr="006A373D">
        <w:rPr>
          <w:szCs w:val="22"/>
        </w:rPr>
        <w:t>de</w:t>
      </w:r>
      <w:r>
        <w:rPr>
          <w:szCs w:val="22"/>
        </w:rPr>
        <w:t xml:space="preserve"> </w:t>
      </w:r>
      <w:r w:rsidRPr="006A373D">
        <w:rPr>
          <w:szCs w:val="22"/>
        </w:rPr>
        <w:t>miocardio</w:t>
      </w:r>
    </w:p>
    <w:p w:rsidR="00FF4127" w:rsidRPr="006A373D" w:rsidRDefault="00FF4127" w:rsidP="00FF4127">
      <w:pPr>
        <w:ind w:firstLine="284"/>
        <w:jc w:val="both"/>
      </w:pPr>
      <w:r w:rsidRPr="006A373D">
        <w:t>Para</w:t>
      </w:r>
      <w:r>
        <w:t xml:space="preserve"> </w:t>
      </w:r>
      <w:r w:rsidRPr="006A373D">
        <w:t>ajustar</w:t>
      </w:r>
      <w:r>
        <w:t xml:space="preserve"> </w:t>
      </w:r>
      <w:r w:rsidRPr="006A373D">
        <w:t>por</w:t>
      </w:r>
      <w:r>
        <w:t xml:space="preserve"> </w:t>
      </w:r>
      <w:r w:rsidRPr="006A373D">
        <w:t>riesgo</w:t>
      </w:r>
      <w:r>
        <w:t xml:space="preserve"> </w:t>
      </w:r>
      <w:r w:rsidRPr="006A373D">
        <w:t>la</w:t>
      </w:r>
      <w:r>
        <w:t xml:space="preserve"> </w:t>
      </w:r>
      <w:r w:rsidRPr="006A373D">
        <w:t>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por</w:t>
      </w:r>
      <w:r>
        <w:t xml:space="preserve"> </w:t>
      </w:r>
      <w:r w:rsidRPr="006A373D">
        <w:t>infarto</w:t>
      </w:r>
      <w:r>
        <w:t xml:space="preserve"> </w:t>
      </w:r>
      <w:r w:rsidRPr="006A373D">
        <w:t>agudo</w:t>
      </w:r>
      <w:r>
        <w:t xml:space="preserve"> </w:t>
      </w:r>
      <w:r w:rsidRPr="006A373D">
        <w:t>de</w:t>
      </w:r>
      <w:r>
        <w:t xml:space="preserve"> </w:t>
      </w:r>
      <w:r w:rsidRPr="006A373D">
        <w:t>miocardio</w:t>
      </w:r>
      <w:r>
        <w:t xml:space="preserve"> </w:t>
      </w:r>
      <w:r w:rsidRPr="006A373D">
        <w:t>se</w:t>
      </w:r>
      <w:r>
        <w:t xml:space="preserve"> </w:t>
      </w:r>
      <w:r w:rsidRPr="006A373D">
        <w:t>ha</w:t>
      </w:r>
      <w:r>
        <w:t xml:space="preserve"> </w:t>
      </w:r>
      <w:r w:rsidRPr="006A373D">
        <w:t>seguido</w:t>
      </w:r>
      <w:r>
        <w:t xml:space="preserve"> </w:t>
      </w:r>
      <w:r w:rsidRPr="006A373D">
        <w:t>la</w:t>
      </w:r>
      <w:r>
        <w:t xml:space="preserve"> </w:t>
      </w:r>
      <w:r w:rsidRPr="006A373D">
        <w:t>metodología</w:t>
      </w:r>
      <w:r>
        <w:t xml:space="preserve"> </w:t>
      </w:r>
      <w:r w:rsidRPr="006A373D">
        <w:t>utilizada</w:t>
      </w:r>
      <w:r>
        <w:t xml:space="preserve"> </w:t>
      </w:r>
      <w:r w:rsidRPr="006A373D">
        <w:t>en</w:t>
      </w:r>
      <w:r>
        <w:t xml:space="preserve"> </w:t>
      </w:r>
      <w:r w:rsidRPr="006A373D">
        <w:t>el</w:t>
      </w:r>
      <w:r>
        <w:t xml:space="preserve"> </w:t>
      </w:r>
      <w:r w:rsidRPr="006A373D">
        <w:t>estudio</w:t>
      </w:r>
      <w:r>
        <w:t xml:space="preserve"> </w:t>
      </w:r>
      <w:r w:rsidRPr="006A373D">
        <w:t>“Mortalidad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por</w:t>
      </w:r>
      <w:r>
        <w:t xml:space="preserve"> </w:t>
      </w:r>
      <w:r w:rsidRPr="006A373D">
        <w:t>infarto</w:t>
      </w:r>
      <w:r>
        <w:t xml:space="preserve"> </w:t>
      </w:r>
      <w:r w:rsidRPr="006A373D">
        <w:t>agudo</w:t>
      </w:r>
      <w:r>
        <w:t xml:space="preserve"> </w:t>
      </w:r>
      <w:r w:rsidRPr="006A373D">
        <w:t>de</w:t>
      </w:r>
      <w:r>
        <w:t xml:space="preserve"> </w:t>
      </w:r>
      <w:r w:rsidRPr="006A373D">
        <w:t>miocardio.</w:t>
      </w:r>
      <w:r>
        <w:t xml:space="preserve"> </w:t>
      </w:r>
      <w:r w:rsidRPr="006A373D">
        <w:t>Relevancia</w:t>
      </w:r>
      <w:r>
        <w:t xml:space="preserve"> </w:t>
      </w:r>
      <w:r w:rsidRPr="006A373D">
        <w:t>del</w:t>
      </w:r>
      <w:r>
        <w:t xml:space="preserve"> </w:t>
      </w:r>
      <w:r w:rsidRPr="006A373D">
        <w:t>tipo</w:t>
      </w:r>
      <w:r>
        <w:t xml:space="preserve"> </w:t>
      </w:r>
      <w:r w:rsidRPr="006A373D">
        <w:t>de</w:t>
      </w:r>
      <w:r>
        <w:t xml:space="preserve"> </w:t>
      </w:r>
      <w:r w:rsidRPr="006A373D">
        <w:t>hospital</w:t>
      </w:r>
      <w:r>
        <w:t xml:space="preserve"> </w:t>
      </w:r>
      <w:r w:rsidRPr="006A373D">
        <w:t>y</w:t>
      </w:r>
      <w:r>
        <w:t xml:space="preserve"> </w:t>
      </w:r>
      <w:r w:rsidRPr="006A373D">
        <w:t>la</w:t>
      </w:r>
      <w:r>
        <w:t xml:space="preserve"> </w:t>
      </w:r>
      <w:r w:rsidRPr="006A373D">
        <w:t>atención</w:t>
      </w:r>
      <w:r>
        <w:t xml:space="preserve"> </w:t>
      </w:r>
      <w:r w:rsidRPr="006A373D">
        <w:t>dispensada”</w:t>
      </w:r>
      <w:r w:rsidRPr="006A373D">
        <w:rPr>
          <w:vertAlign w:val="superscript"/>
        </w:rPr>
        <w:t>5</w:t>
      </w:r>
      <w:r w:rsidRPr="006A373D">
        <w:t>,</w:t>
      </w:r>
      <w:r>
        <w:t xml:space="preserve"> </w:t>
      </w:r>
      <w:r w:rsidRPr="006A373D">
        <w:t>en</w:t>
      </w:r>
      <w:r>
        <w:t xml:space="preserve"> </w:t>
      </w:r>
      <w:r w:rsidRPr="006A373D">
        <w:t>cuyo</w:t>
      </w:r>
      <w:r>
        <w:t xml:space="preserve"> </w:t>
      </w:r>
      <w:r w:rsidRPr="006A373D">
        <w:t>material</w:t>
      </w:r>
      <w:r>
        <w:t xml:space="preserve"> </w:t>
      </w:r>
      <w:r w:rsidRPr="006A373D">
        <w:t>suplementario</w:t>
      </w:r>
      <w:r>
        <w:t xml:space="preserve"> </w:t>
      </w:r>
      <w:r w:rsidRPr="006A373D">
        <w:t>se</w:t>
      </w:r>
      <w:r>
        <w:t xml:space="preserve"> </w:t>
      </w:r>
      <w:r w:rsidRPr="006A373D">
        <w:t>describe</w:t>
      </w:r>
      <w:r>
        <w:t xml:space="preserve"> </w:t>
      </w:r>
      <w:r w:rsidRPr="006A373D">
        <w:t>con</w:t>
      </w:r>
      <w:r>
        <w:t xml:space="preserve"> </w:t>
      </w:r>
      <w:r w:rsidRPr="006A373D">
        <w:t>detalle.</w:t>
      </w:r>
    </w:p>
    <w:p w:rsidR="00FF4127" w:rsidRPr="006A373D" w:rsidRDefault="00FF4127" w:rsidP="00FF4127">
      <w:pPr>
        <w:ind w:firstLine="284"/>
        <w:jc w:val="both"/>
      </w:pPr>
      <w:r w:rsidRPr="006A373D">
        <w:t>Como</w:t>
      </w:r>
      <w:r>
        <w:t xml:space="preserve"> </w:t>
      </w:r>
      <w:r w:rsidRPr="006A373D">
        <w:t>factores</w:t>
      </w:r>
      <w:r>
        <w:t xml:space="preserve"> </w:t>
      </w:r>
      <w:r w:rsidRPr="006A373D">
        <w:t>de</w:t>
      </w:r>
      <w:r>
        <w:t xml:space="preserve"> </w:t>
      </w:r>
      <w:r w:rsidRPr="006A373D">
        <w:t>riesgo</w:t>
      </w:r>
      <w:r>
        <w:t xml:space="preserve"> </w:t>
      </w:r>
      <w:r w:rsidRPr="006A373D">
        <w:t>se</w:t>
      </w:r>
      <w:r>
        <w:t xml:space="preserve"> </w:t>
      </w:r>
      <w:r w:rsidRPr="006A373D">
        <w:t>han</w:t>
      </w:r>
      <w:r>
        <w:t xml:space="preserve"> </w:t>
      </w:r>
      <w:r w:rsidRPr="006A373D">
        <w:t>considerado</w:t>
      </w:r>
      <w:r>
        <w:t xml:space="preserve"> </w:t>
      </w:r>
      <w:r w:rsidRPr="006A373D">
        <w:t>los</w:t>
      </w:r>
      <w:r>
        <w:t xml:space="preserve"> </w:t>
      </w:r>
      <w:r w:rsidRPr="006A373D">
        <w:t>indicados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tabla</w:t>
      </w:r>
      <w:r>
        <w:t xml:space="preserve"> </w:t>
      </w:r>
      <w:r w:rsidRPr="006A373D">
        <w:t>2,</w:t>
      </w:r>
      <w:r>
        <w:t xml:space="preserve"> </w:t>
      </w:r>
      <w:r w:rsidRPr="006A373D">
        <w:t>que</w:t>
      </w:r>
      <w:r>
        <w:t xml:space="preserve"> </w:t>
      </w:r>
      <w:r w:rsidRPr="006A373D">
        <w:t>corresponden</w:t>
      </w:r>
      <w:r>
        <w:t xml:space="preserve"> </w:t>
      </w:r>
      <w:r w:rsidRPr="006A373D">
        <w:t>al</w:t>
      </w:r>
      <w:r>
        <w:t xml:space="preserve"> </w:t>
      </w:r>
      <w:r w:rsidRPr="006A373D">
        <w:t>modelo</w:t>
      </w:r>
      <w:r>
        <w:t xml:space="preserve"> </w:t>
      </w:r>
      <w:r w:rsidRPr="006A373D">
        <w:t>publicado</w:t>
      </w:r>
      <w:r>
        <w:t xml:space="preserve"> </w:t>
      </w:r>
      <w:r w:rsidRPr="006A373D">
        <w:t>por</w:t>
      </w:r>
      <w:r>
        <w:t xml:space="preserve"> </w:t>
      </w:r>
      <w:r w:rsidRPr="006A373D">
        <w:t>el</w:t>
      </w:r>
      <w:r>
        <w:t xml:space="preserve"> </w:t>
      </w:r>
      <w:proofErr w:type="spellStart"/>
      <w:r w:rsidRPr="006A373D">
        <w:rPr>
          <w:i/>
        </w:rPr>
        <w:t>Institute</w:t>
      </w:r>
      <w:proofErr w:type="spellEnd"/>
      <w:r>
        <w:rPr>
          <w:i/>
        </w:rPr>
        <w:t xml:space="preserve"> </w:t>
      </w:r>
      <w:r w:rsidRPr="006A373D">
        <w:rPr>
          <w:i/>
        </w:rPr>
        <w:t>of</w:t>
      </w:r>
      <w:r>
        <w:rPr>
          <w:i/>
        </w:rPr>
        <w:t xml:space="preserve"> </w:t>
      </w:r>
      <w:proofErr w:type="spellStart"/>
      <w:r w:rsidRPr="006A373D">
        <w:rPr>
          <w:i/>
        </w:rPr>
        <w:t>Clinical</w:t>
      </w:r>
      <w:proofErr w:type="spellEnd"/>
      <w:r>
        <w:rPr>
          <w:i/>
        </w:rPr>
        <w:t xml:space="preserve"> </w:t>
      </w:r>
      <w:proofErr w:type="spellStart"/>
      <w:r w:rsidRPr="006A373D">
        <w:rPr>
          <w:i/>
        </w:rPr>
        <w:t>Evaluative</w:t>
      </w:r>
      <w:proofErr w:type="spellEnd"/>
      <w:r>
        <w:rPr>
          <w:i/>
        </w:rPr>
        <w:t xml:space="preserve"> </w:t>
      </w:r>
      <w:proofErr w:type="spellStart"/>
      <w:r w:rsidRPr="006A373D">
        <w:rPr>
          <w:i/>
        </w:rPr>
        <w:t>Sciences</w:t>
      </w:r>
      <w:proofErr w:type="spellEnd"/>
      <w:r>
        <w:t xml:space="preserve"> </w:t>
      </w:r>
      <w:r w:rsidRPr="006A373D">
        <w:t>de</w:t>
      </w:r>
      <w:r>
        <w:t xml:space="preserve"> </w:t>
      </w:r>
      <w:r w:rsidRPr="006A373D">
        <w:t>Ontario</w:t>
      </w:r>
      <w:r>
        <w:t xml:space="preserve"> </w:t>
      </w:r>
      <w:r w:rsidRPr="006A373D">
        <w:t>(Canadá),</w:t>
      </w:r>
      <w:r>
        <w:t xml:space="preserve"> </w:t>
      </w:r>
      <w:r w:rsidRPr="006A373D">
        <w:t>en</w:t>
      </w:r>
      <w:r>
        <w:t xml:space="preserve"> </w:t>
      </w:r>
      <w:r w:rsidRPr="006A373D">
        <w:t>1999</w:t>
      </w:r>
      <w:r>
        <w:t xml:space="preserve"> </w:t>
      </w:r>
      <w:r w:rsidRPr="006A373D">
        <w:t>(ICES</w:t>
      </w:r>
      <w:r>
        <w:t xml:space="preserve"> </w:t>
      </w:r>
      <w:r w:rsidRPr="006A373D">
        <w:t>1999)</w:t>
      </w:r>
      <w:r w:rsidRPr="006A373D">
        <w:rPr>
          <w:vertAlign w:val="superscript"/>
        </w:rPr>
        <w:t>6</w:t>
      </w:r>
      <w:r>
        <w:t xml:space="preserve"> </w:t>
      </w:r>
      <w:r w:rsidRPr="006A373D">
        <w:t>y</w:t>
      </w:r>
      <w:r>
        <w:t xml:space="preserve"> </w:t>
      </w:r>
      <w:r w:rsidRPr="006A373D">
        <w:t>se</w:t>
      </w:r>
      <w:r>
        <w:t xml:space="preserve"> </w:t>
      </w:r>
      <w:r w:rsidRPr="006A373D">
        <w:t>han</w:t>
      </w:r>
      <w:r>
        <w:t xml:space="preserve"> </w:t>
      </w:r>
      <w:r w:rsidRPr="006A373D">
        <w:t>obtenido</w:t>
      </w:r>
      <w:r>
        <w:t xml:space="preserve"> </w:t>
      </w:r>
      <w:r w:rsidRPr="006A373D">
        <w:t>los</w:t>
      </w:r>
      <w:r>
        <w:t xml:space="preserve"> </w:t>
      </w:r>
      <w:r w:rsidRPr="006A373D">
        <w:t>resultados</w:t>
      </w:r>
      <w:r>
        <w:t xml:space="preserve"> </w:t>
      </w:r>
      <w:r w:rsidRPr="006A373D">
        <w:lastRenderedPageBreak/>
        <w:t>que</w:t>
      </w:r>
      <w:r>
        <w:t xml:space="preserve"> </w:t>
      </w:r>
      <w:r w:rsidRPr="006A373D">
        <w:t>se</w:t>
      </w:r>
      <w:r>
        <w:t xml:space="preserve"> </w:t>
      </w:r>
      <w:r w:rsidRPr="006A373D">
        <w:t>muestran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tabla</w:t>
      </w:r>
      <w:r>
        <w:t xml:space="preserve"> </w:t>
      </w:r>
      <w:r w:rsidRPr="006A373D">
        <w:t>3,</w:t>
      </w:r>
      <w:r>
        <w:t xml:space="preserve"> </w:t>
      </w:r>
      <w:r w:rsidRPr="006A373D">
        <w:t>mediante</w:t>
      </w:r>
      <w:r>
        <w:t xml:space="preserve"> </w:t>
      </w:r>
      <w:r w:rsidRPr="006A373D">
        <w:t>regresión</w:t>
      </w:r>
      <w:r>
        <w:t xml:space="preserve"> </w:t>
      </w:r>
      <w:r w:rsidRPr="006A373D">
        <w:t>logística</w:t>
      </w:r>
      <w:r>
        <w:t xml:space="preserve"> </w:t>
      </w:r>
      <w:r w:rsidRPr="006A373D">
        <w:t>binaria,</w:t>
      </w:r>
      <w:r>
        <w:t xml:space="preserve"> </w:t>
      </w:r>
      <w:r w:rsidRPr="006A373D">
        <w:t>y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tabla</w:t>
      </w:r>
      <w:r>
        <w:t xml:space="preserve"> </w:t>
      </w:r>
      <w:r w:rsidRPr="006A373D">
        <w:t>4</w:t>
      </w:r>
      <w:r>
        <w:t xml:space="preserve"> </w:t>
      </w:r>
      <w:r w:rsidRPr="006A373D">
        <w:t>mediante</w:t>
      </w:r>
      <w:r>
        <w:t xml:space="preserve"> </w:t>
      </w:r>
      <w:r w:rsidRPr="006A373D">
        <w:t>regresión</w:t>
      </w:r>
      <w:r>
        <w:t xml:space="preserve"> </w:t>
      </w:r>
      <w:r w:rsidRPr="006A373D">
        <w:t>logística</w:t>
      </w:r>
      <w:r>
        <w:t xml:space="preserve"> </w:t>
      </w:r>
      <w:r w:rsidRPr="006A373D">
        <w:t>multinivel,</w:t>
      </w:r>
      <w:r>
        <w:t xml:space="preserve"> </w:t>
      </w:r>
      <w:r w:rsidRPr="006A373D">
        <w:t>según</w:t>
      </w:r>
      <w:r>
        <w:t xml:space="preserve"> </w:t>
      </w:r>
      <w:r w:rsidRPr="006A373D">
        <w:t>la</w:t>
      </w:r>
      <w:r>
        <w:t xml:space="preserve"> </w:t>
      </w:r>
      <w:r w:rsidRPr="006A373D">
        <w:t>metodología</w:t>
      </w:r>
      <w:r>
        <w:t xml:space="preserve"> </w:t>
      </w:r>
      <w:r w:rsidRPr="006A373D">
        <w:t>de</w:t>
      </w:r>
      <w:r>
        <w:t xml:space="preserve"> </w:t>
      </w:r>
      <w:r w:rsidRPr="006A373D">
        <w:rPr>
          <w:i/>
        </w:rPr>
        <w:t>Centers</w:t>
      </w:r>
      <w:r>
        <w:rPr>
          <w:i/>
        </w:rPr>
        <w:t xml:space="preserve"> </w:t>
      </w:r>
      <w:proofErr w:type="spellStart"/>
      <w:r w:rsidRPr="006A373D">
        <w:rPr>
          <w:i/>
        </w:rPr>
        <w:t>for</w:t>
      </w:r>
      <w:proofErr w:type="spellEnd"/>
      <w:r>
        <w:rPr>
          <w:i/>
        </w:rPr>
        <w:t xml:space="preserve"> </w:t>
      </w:r>
      <w:r w:rsidRPr="006A373D">
        <w:rPr>
          <w:i/>
        </w:rPr>
        <w:t>Medicare</w:t>
      </w:r>
      <w:r>
        <w:rPr>
          <w:i/>
        </w:rPr>
        <w:t xml:space="preserve"> </w:t>
      </w:r>
      <w:r w:rsidRPr="006A373D">
        <w:rPr>
          <w:i/>
        </w:rPr>
        <w:t>&amp;</w:t>
      </w:r>
      <w:r>
        <w:rPr>
          <w:i/>
        </w:rPr>
        <w:t xml:space="preserve"> </w:t>
      </w:r>
      <w:proofErr w:type="spellStart"/>
      <w:r w:rsidRPr="006A373D">
        <w:rPr>
          <w:i/>
        </w:rPr>
        <w:t>Medicaid</w:t>
      </w:r>
      <w:proofErr w:type="spellEnd"/>
      <w:r>
        <w:rPr>
          <w:i/>
        </w:rPr>
        <w:t xml:space="preserve"> </w:t>
      </w:r>
      <w:r w:rsidRPr="006A373D">
        <w:rPr>
          <w:i/>
        </w:rPr>
        <w:t>Services</w:t>
      </w:r>
      <w:r w:rsidRPr="006A373D">
        <w:rPr>
          <w:vertAlign w:val="superscript"/>
        </w:rPr>
        <w:t>7-9</w:t>
      </w:r>
      <w:r w:rsidRPr="006A373D">
        <w:t>.</w:t>
      </w:r>
    </w:p>
    <w:p w:rsidR="00FF4127" w:rsidRPr="006A373D" w:rsidRDefault="00FF4127" w:rsidP="00FF4127">
      <w:pPr>
        <w:ind w:firstLine="284"/>
        <w:jc w:val="both"/>
      </w:pPr>
      <w:r w:rsidRPr="006A373D">
        <w:t>A</w:t>
      </w:r>
      <w:r>
        <w:t xml:space="preserve"> </w:t>
      </w:r>
      <w:r w:rsidRPr="006A373D">
        <w:t>partir</w:t>
      </w:r>
      <w:r>
        <w:t xml:space="preserve"> </w:t>
      </w:r>
      <w:r w:rsidRPr="006A373D">
        <w:t>del</w:t>
      </w:r>
      <w:r>
        <w:t xml:space="preserve"> </w:t>
      </w:r>
      <w:r w:rsidRPr="006A373D">
        <w:t>modelo</w:t>
      </w:r>
      <w:r>
        <w:t xml:space="preserve"> </w:t>
      </w:r>
      <w:r w:rsidRPr="006A373D">
        <w:t>multiniv</w:t>
      </w:r>
      <w:r>
        <w:t xml:space="preserve">el estimado, se ha calculado: 1) </w:t>
      </w:r>
      <w:r w:rsidRPr="006A373D">
        <w:t>La</w:t>
      </w:r>
      <w:r>
        <w:t xml:space="preserve"> </w:t>
      </w:r>
      <w:r w:rsidRPr="006A373D">
        <w:t>mortalidad</w:t>
      </w:r>
      <w:r>
        <w:t xml:space="preserve"> </w:t>
      </w:r>
      <w:r w:rsidRPr="006A373D">
        <w:t>prevista,</w:t>
      </w:r>
      <w:r>
        <w:t xml:space="preserve"> </w:t>
      </w:r>
      <w:r w:rsidRPr="006A373D">
        <w:t>que</w:t>
      </w:r>
      <w:r>
        <w:t xml:space="preserve"> </w:t>
      </w:r>
      <w:r w:rsidRPr="006A373D">
        <w:t>es</w:t>
      </w:r>
      <w:r>
        <w:t xml:space="preserve"> </w:t>
      </w:r>
      <w:r w:rsidRPr="006A373D">
        <w:t>el</w:t>
      </w:r>
      <w:r>
        <w:t xml:space="preserve"> </w:t>
      </w:r>
      <w:r w:rsidRPr="006A373D">
        <w:t>número</w:t>
      </w:r>
      <w:r>
        <w:t xml:space="preserve"> </w:t>
      </w:r>
      <w:r w:rsidRPr="006A373D">
        <w:rPr>
          <w:i/>
        </w:rPr>
        <w:t>previsto</w:t>
      </w:r>
      <w:r>
        <w:t xml:space="preserve"> </w:t>
      </w:r>
      <w:r w:rsidRPr="006A373D">
        <w:t>de</w:t>
      </w:r>
      <w:r>
        <w:t xml:space="preserve"> fallecimientos </w:t>
      </w:r>
      <w:r w:rsidRPr="006A373D">
        <w:t>por</w:t>
      </w:r>
      <w:r>
        <w:t xml:space="preserve"> </w:t>
      </w:r>
      <w:r w:rsidRPr="006A373D">
        <w:t>infart</w:t>
      </w:r>
      <w:r>
        <w:t xml:space="preserve">o agudo de miocardio </w:t>
      </w:r>
      <w:r w:rsidRPr="006A373D">
        <w:t>estimado</w:t>
      </w:r>
      <w:r>
        <w:t xml:space="preserve"> </w:t>
      </w:r>
      <w:r w:rsidRPr="006A373D">
        <w:t>a</w:t>
      </w:r>
      <w:r>
        <w:t xml:space="preserve"> </w:t>
      </w:r>
      <w:r w:rsidRPr="006A373D">
        <w:t>partir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individuales</w:t>
      </w:r>
      <w:r>
        <w:t xml:space="preserve"> </w:t>
      </w:r>
      <w:r w:rsidRPr="006A373D">
        <w:t>(mix</w:t>
      </w:r>
      <w:r>
        <w:t xml:space="preserve"> </w:t>
      </w:r>
      <w:r w:rsidRPr="006A373D">
        <w:t>de</w:t>
      </w:r>
      <w:r>
        <w:t xml:space="preserve"> </w:t>
      </w:r>
      <w:r w:rsidRPr="006A373D">
        <w:t>pacientes)</w:t>
      </w:r>
      <w:r>
        <w:t xml:space="preserve"> </w:t>
      </w:r>
      <w:r w:rsidRPr="006A373D">
        <w:t>y</w:t>
      </w:r>
      <w:r>
        <w:t xml:space="preserve"> </w:t>
      </w:r>
      <w:r w:rsidRPr="006A373D">
        <w:t>el</w:t>
      </w:r>
      <w:r>
        <w:t xml:space="preserve"> </w:t>
      </w:r>
      <w:r w:rsidRPr="006A373D">
        <w:t>componente</w:t>
      </w:r>
      <w:r>
        <w:t xml:space="preserve"> </w:t>
      </w:r>
      <w:r w:rsidRPr="006A373D">
        <w:t>de</w:t>
      </w:r>
      <w:r>
        <w:t xml:space="preserve"> </w:t>
      </w:r>
      <w:r w:rsidRPr="006A373D">
        <w:t>cada</w:t>
      </w:r>
      <w:r>
        <w:t xml:space="preserve"> </w:t>
      </w:r>
      <w:r w:rsidRPr="006A373D">
        <w:t>hospital</w:t>
      </w:r>
      <w:r>
        <w:t xml:space="preserve"> </w:t>
      </w:r>
      <w:r w:rsidRPr="006A373D">
        <w:t>correspondiente</w:t>
      </w:r>
      <w:r>
        <w:t xml:space="preserve"> </w:t>
      </w:r>
      <w:r w:rsidRPr="006A373D">
        <w:t>a</w:t>
      </w:r>
      <w:r>
        <w:t xml:space="preserve"> </w:t>
      </w:r>
      <w:r w:rsidRPr="006A373D">
        <w:t>la</w:t>
      </w:r>
      <w:r>
        <w:t xml:space="preserve"> </w:t>
      </w:r>
      <w:r w:rsidRPr="006A373D">
        <w:t>ordenada</w:t>
      </w:r>
      <w:r>
        <w:t xml:space="preserve"> </w:t>
      </w:r>
      <w:r w:rsidRPr="006A373D">
        <w:t>en</w:t>
      </w:r>
      <w:r>
        <w:t xml:space="preserve"> </w:t>
      </w:r>
      <w:r w:rsidRPr="006A373D">
        <w:t>el</w:t>
      </w:r>
      <w:r>
        <w:t xml:space="preserve"> </w:t>
      </w:r>
      <w:r w:rsidRPr="006A373D">
        <w:t>origen</w:t>
      </w:r>
      <w:r>
        <w:t xml:space="preserve"> </w:t>
      </w:r>
      <w:r w:rsidRPr="006A373D">
        <w:t>(funcionamiento),</w:t>
      </w:r>
      <w:r>
        <w:t xml:space="preserve"> </w:t>
      </w:r>
      <w:r w:rsidRPr="006A373D">
        <w:t>mediante</w:t>
      </w:r>
      <w:r>
        <w:t xml:space="preserve"> </w:t>
      </w:r>
      <w:r w:rsidRPr="006A373D">
        <w:t>la</w:t>
      </w:r>
      <w:r>
        <w:t xml:space="preserve"> </w:t>
      </w:r>
      <w:r w:rsidRPr="006A373D">
        <w:t>opción</w:t>
      </w:r>
      <w:r>
        <w:t xml:space="preserve"> </w:t>
      </w:r>
      <w:r w:rsidRPr="006A373D">
        <w:t>de</w:t>
      </w:r>
      <w:r>
        <w:t xml:space="preserve"> </w:t>
      </w:r>
      <w:r w:rsidRPr="006A373D">
        <w:t>predicciones</w:t>
      </w:r>
      <w:r>
        <w:t xml:space="preserve"> </w:t>
      </w:r>
      <w:r w:rsidRPr="006A373D">
        <w:t>de</w:t>
      </w:r>
      <w:r>
        <w:t xml:space="preserve"> </w:t>
      </w:r>
      <w:r w:rsidRPr="006A373D">
        <w:t>STATA</w:t>
      </w:r>
      <w:r>
        <w:t xml:space="preserve"> </w:t>
      </w:r>
      <w:r w:rsidRPr="006A373D">
        <w:t>13,</w:t>
      </w:r>
      <w:r>
        <w:t xml:space="preserve"> </w:t>
      </w:r>
      <w:r w:rsidRPr="006A373D">
        <w:t>incluyendo</w:t>
      </w:r>
      <w:r>
        <w:t xml:space="preserve"> </w:t>
      </w:r>
      <w:r w:rsidRPr="006A373D">
        <w:t>todas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dependientes,</w:t>
      </w:r>
      <w:r>
        <w:t xml:space="preserve"> </w:t>
      </w:r>
      <w:r w:rsidRPr="006A373D">
        <w:t>todos</w:t>
      </w:r>
      <w:r>
        <w:t xml:space="preserve"> </w:t>
      </w:r>
      <w:r w:rsidRPr="006A373D">
        <w:t>los</w:t>
      </w:r>
      <w:r>
        <w:t xml:space="preserve"> </w:t>
      </w:r>
      <w:r w:rsidRPr="006A373D">
        <w:t>coeficientes</w:t>
      </w:r>
      <w:r>
        <w:t xml:space="preserve"> </w:t>
      </w:r>
      <w:r w:rsidRPr="006A373D">
        <w:t>fijos</w:t>
      </w:r>
      <w:r>
        <w:t xml:space="preserve"> </w:t>
      </w:r>
      <w:r w:rsidRPr="006A373D">
        <w:t>y</w:t>
      </w:r>
      <w:r>
        <w:t xml:space="preserve"> </w:t>
      </w:r>
      <w:r w:rsidRPr="006A373D">
        <w:t>todos</w:t>
      </w:r>
      <w:r>
        <w:t xml:space="preserve"> </w:t>
      </w:r>
      <w:r w:rsidRPr="006A373D">
        <w:t>los</w:t>
      </w:r>
      <w:r>
        <w:t xml:space="preserve"> </w:t>
      </w:r>
      <w:r w:rsidRPr="006A373D">
        <w:t>efectos</w:t>
      </w:r>
      <w:r>
        <w:t xml:space="preserve"> </w:t>
      </w:r>
      <w:r w:rsidRPr="006A373D">
        <w:t>aleatorios</w:t>
      </w:r>
      <w:r>
        <w:t xml:space="preserve"> </w:t>
      </w:r>
      <w:r w:rsidRPr="006A373D">
        <w:t>correspondientes</w:t>
      </w:r>
      <w:r>
        <w:t xml:space="preserve"> </w:t>
      </w:r>
      <w:r w:rsidRPr="006A373D">
        <w:t>al</w:t>
      </w:r>
      <w:r>
        <w:t xml:space="preserve"> </w:t>
      </w:r>
      <w:r w:rsidRPr="006A373D">
        <w:t>nivel</w:t>
      </w:r>
      <w:r>
        <w:t xml:space="preserve"> </w:t>
      </w:r>
      <w:r w:rsidRPr="006A373D">
        <w:t>2</w:t>
      </w:r>
      <w:r>
        <w:t xml:space="preserve"> </w:t>
      </w:r>
      <w:r w:rsidRPr="006A373D">
        <w:t>(hospital);</w:t>
      </w:r>
      <w:r>
        <w:t xml:space="preserve"> </w:t>
      </w:r>
      <w:r w:rsidRPr="006A373D">
        <w:t>2</w:t>
      </w:r>
      <w:r>
        <w:t>) L</w:t>
      </w:r>
      <w:r w:rsidRPr="006A373D">
        <w:t>a</w:t>
      </w:r>
      <w:r>
        <w:t xml:space="preserve"> </w:t>
      </w:r>
      <w:r w:rsidRPr="006A373D">
        <w:t>mortalidad</w:t>
      </w:r>
      <w:r>
        <w:t xml:space="preserve"> </w:t>
      </w:r>
      <w:r w:rsidRPr="006A373D">
        <w:t>esperada,</w:t>
      </w:r>
      <w:r>
        <w:t xml:space="preserve"> </w:t>
      </w:r>
      <w:r w:rsidRPr="006A373D">
        <w:t>que</w:t>
      </w:r>
      <w:r>
        <w:t xml:space="preserve"> </w:t>
      </w:r>
      <w:r w:rsidRPr="006A373D">
        <w:t>es</w:t>
      </w:r>
      <w:r>
        <w:t xml:space="preserve"> </w:t>
      </w:r>
      <w:r w:rsidRPr="006A373D">
        <w:t>el</w:t>
      </w:r>
      <w:r>
        <w:t xml:space="preserve"> </w:t>
      </w:r>
      <w:r w:rsidRPr="006A373D">
        <w:t>número</w:t>
      </w:r>
      <w:r>
        <w:t xml:space="preserve"> </w:t>
      </w:r>
      <w:r w:rsidRPr="006A373D">
        <w:t>esperado</w:t>
      </w:r>
      <w:r>
        <w:t xml:space="preserve"> </w:t>
      </w:r>
      <w:r w:rsidRPr="006A373D">
        <w:t>de</w:t>
      </w:r>
      <w:r>
        <w:t xml:space="preserve"> fallecimientos </w:t>
      </w:r>
      <w:r w:rsidRPr="006A373D">
        <w:t>por</w:t>
      </w:r>
      <w:r>
        <w:t xml:space="preserve"> </w:t>
      </w:r>
      <w:r w:rsidRPr="006A373D">
        <w:t>infart</w:t>
      </w:r>
      <w:r>
        <w:t xml:space="preserve">o agudo de miocardio </w:t>
      </w:r>
      <w:r w:rsidRPr="006A373D">
        <w:t>en</w:t>
      </w:r>
      <w:r>
        <w:t xml:space="preserve"> </w:t>
      </w:r>
      <w:r w:rsidRPr="006A373D">
        <w:t>cada</w:t>
      </w:r>
      <w:r>
        <w:t xml:space="preserve"> </w:t>
      </w:r>
      <w:r w:rsidRPr="006A373D">
        <w:t>hospital,</w:t>
      </w:r>
      <w:r>
        <w:t xml:space="preserve"> </w:t>
      </w:r>
      <w:r w:rsidRPr="006A373D">
        <w:t>estimado</w:t>
      </w:r>
      <w:r>
        <w:t xml:space="preserve"> </w:t>
      </w:r>
      <w:r w:rsidRPr="006A373D">
        <w:t>a</w:t>
      </w:r>
      <w:r>
        <w:t xml:space="preserve"> </w:t>
      </w:r>
      <w:r w:rsidRPr="006A373D">
        <w:t>partir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individuales</w:t>
      </w:r>
      <w:r>
        <w:t xml:space="preserve"> </w:t>
      </w:r>
      <w:r w:rsidRPr="006A373D">
        <w:t>(mix</w:t>
      </w:r>
      <w:r>
        <w:t xml:space="preserve"> </w:t>
      </w:r>
      <w:r w:rsidRPr="006A373D">
        <w:t>de</w:t>
      </w:r>
      <w:r>
        <w:t xml:space="preserve"> </w:t>
      </w:r>
      <w:r w:rsidRPr="006A373D">
        <w:t>pacientes)</w:t>
      </w:r>
      <w:r>
        <w:t xml:space="preserve"> </w:t>
      </w:r>
      <w:r w:rsidRPr="006A373D">
        <w:t>y</w:t>
      </w:r>
      <w:r>
        <w:t xml:space="preserve"> </w:t>
      </w:r>
      <w:r w:rsidRPr="006A373D">
        <w:t>la</w:t>
      </w:r>
      <w:r>
        <w:t xml:space="preserve"> </w:t>
      </w:r>
      <w:r w:rsidRPr="006A373D">
        <w:t>media</w:t>
      </w:r>
      <w:r>
        <w:t xml:space="preserve"> </w:t>
      </w:r>
      <w:r w:rsidRPr="006A373D">
        <w:t>de</w:t>
      </w:r>
      <w:r>
        <w:t xml:space="preserve"> </w:t>
      </w:r>
      <w:r w:rsidRPr="006A373D">
        <w:t>los</w:t>
      </w:r>
      <w:r>
        <w:t xml:space="preserve"> </w:t>
      </w:r>
      <w:r w:rsidRPr="006A373D">
        <w:t>componentes</w:t>
      </w:r>
      <w:r>
        <w:t xml:space="preserve"> </w:t>
      </w:r>
      <w:r w:rsidRPr="006A373D">
        <w:t>de</w:t>
      </w:r>
      <w:r>
        <w:t xml:space="preserve"> </w:t>
      </w:r>
      <w:r w:rsidRPr="006A373D">
        <w:t>cada</w:t>
      </w:r>
      <w:r>
        <w:t xml:space="preserve"> </w:t>
      </w:r>
      <w:r w:rsidRPr="006A373D">
        <w:t>hospital</w:t>
      </w:r>
      <w:r>
        <w:t xml:space="preserve"> </w:t>
      </w:r>
      <w:r w:rsidRPr="006A373D">
        <w:t>correspondientes</w:t>
      </w:r>
      <w:r>
        <w:t xml:space="preserve"> </w:t>
      </w:r>
      <w:r w:rsidRPr="006A373D">
        <w:t>a</w:t>
      </w:r>
      <w:r>
        <w:t xml:space="preserve"> </w:t>
      </w:r>
      <w:r w:rsidRPr="006A373D">
        <w:t>la</w:t>
      </w:r>
      <w:r>
        <w:t xml:space="preserve"> </w:t>
      </w:r>
      <w:r w:rsidRPr="006A373D">
        <w:t>ordenada</w:t>
      </w:r>
      <w:r>
        <w:t xml:space="preserve"> </w:t>
      </w:r>
      <w:r w:rsidRPr="006A373D">
        <w:t>en</w:t>
      </w:r>
      <w:r>
        <w:t xml:space="preserve"> </w:t>
      </w:r>
      <w:r w:rsidRPr="006A373D">
        <w:t>el</w:t>
      </w:r>
      <w:r>
        <w:t xml:space="preserve"> </w:t>
      </w:r>
      <w:r w:rsidRPr="006A373D">
        <w:t>origen</w:t>
      </w:r>
      <w:r>
        <w:t xml:space="preserve"> </w:t>
      </w:r>
      <w:r w:rsidRPr="006A373D">
        <w:t>(funcionamiento</w:t>
      </w:r>
      <w:r>
        <w:t xml:space="preserve"> </w:t>
      </w:r>
      <w:r w:rsidRPr="006A373D">
        <w:t>estándar),</w:t>
      </w:r>
      <w:r>
        <w:t xml:space="preserve"> </w:t>
      </w:r>
      <w:r w:rsidRPr="006A373D">
        <w:t>mediante</w:t>
      </w:r>
      <w:r>
        <w:t xml:space="preserve"> </w:t>
      </w:r>
      <w:r w:rsidRPr="006A373D">
        <w:t>la</w:t>
      </w:r>
      <w:r>
        <w:t xml:space="preserve"> </w:t>
      </w:r>
      <w:r w:rsidRPr="006A373D">
        <w:t>opción</w:t>
      </w:r>
      <w:r>
        <w:t xml:space="preserve"> </w:t>
      </w:r>
      <w:r w:rsidRPr="006A373D">
        <w:t>de</w:t>
      </w:r>
      <w:r>
        <w:t xml:space="preserve"> </w:t>
      </w:r>
      <w:r w:rsidRPr="006A373D">
        <w:t>predicciones</w:t>
      </w:r>
      <w:r>
        <w:t xml:space="preserve"> </w:t>
      </w:r>
      <w:r w:rsidRPr="006A373D">
        <w:t>de</w:t>
      </w:r>
      <w:r>
        <w:t xml:space="preserve"> </w:t>
      </w:r>
      <w:r w:rsidRPr="006A373D">
        <w:t>STATA</w:t>
      </w:r>
      <w:r>
        <w:t xml:space="preserve"> </w:t>
      </w:r>
      <w:r w:rsidRPr="006A373D">
        <w:t>13,</w:t>
      </w:r>
      <w:r>
        <w:t xml:space="preserve"> </w:t>
      </w:r>
      <w:r w:rsidRPr="006A373D">
        <w:t>incluyendo</w:t>
      </w:r>
      <w:r>
        <w:t xml:space="preserve"> </w:t>
      </w:r>
      <w:r w:rsidRPr="006A373D">
        <w:t>todas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dependientes</w:t>
      </w:r>
      <w:r>
        <w:t xml:space="preserve"> </w:t>
      </w:r>
      <w:r w:rsidRPr="006A373D">
        <w:t>y</w:t>
      </w:r>
      <w:r>
        <w:t xml:space="preserve"> </w:t>
      </w:r>
      <w:r w:rsidRPr="006A373D">
        <w:t>todos</w:t>
      </w:r>
      <w:r>
        <w:t xml:space="preserve"> </w:t>
      </w:r>
      <w:r w:rsidRPr="006A373D">
        <w:t>los</w:t>
      </w:r>
      <w:r>
        <w:t xml:space="preserve"> </w:t>
      </w:r>
      <w:r w:rsidRPr="006A373D">
        <w:t>coeficientes</w:t>
      </w:r>
      <w:r>
        <w:t xml:space="preserve"> </w:t>
      </w:r>
      <w:r w:rsidRPr="006A373D">
        <w:t>fijos,</w:t>
      </w:r>
      <w:r>
        <w:t xml:space="preserve"> </w:t>
      </w:r>
      <w:r w:rsidRPr="006A373D">
        <w:t>pero</w:t>
      </w:r>
      <w:r>
        <w:t xml:space="preserve"> </w:t>
      </w:r>
      <w:r w:rsidRPr="006A373D">
        <w:t>no</w:t>
      </w:r>
      <w:r>
        <w:t xml:space="preserve"> </w:t>
      </w:r>
      <w:r w:rsidRPr="006A373D">
        <w:t>los</w:t>
      </w:r>
      <w:r>
        <w:t xml:space="preserve"> </w:t>
      </w:r>
      <w:r w:rsidRPr="006A373D">
        <w:t>efectos</w:t>
      </w:r>
      <w:r>
        <w:t xml:space="preserve"> </w:t>
      </w:r>
      <w:r w:rsidRPr="006A373D">
        <w:t>aleatorios</w:t>
      </w:r>
      <w:r>
        <w:t xml:space="preserve"> </w:t>
      </w:r>
      <w:r w:rsidRPr="006A373D">
        <w:t>correspondientes</w:t>
      </w:r>
      <w:r>
        <w:t xml:space="preserve"> </w:t>
      </w:r>
      <w:r w:rsidRPr="006A373D">
        <w:t>al</w:t>
      </w:r>
      <w:r>
        <w:t xml:space="preserve"> </w:t>
      </w:r>
      <w:r w:rsidRPr="006A373D">
        <w:t>nivel</w:t>
      </w:r>
      <w:r>
        <w:t xml:space="preserve"> </w:t>
      </w:r>
      <w:r w:rsidRPr="006A373D">
        <w:t>2</w:t>
      </w:r>
      <w:r>
        <w:t xml:space="preserve"> </w:t>
      </w:r>
      <w:r w:rsidRPr="006A373D">
        <w:t>(hospital);</w:t>
      </w:r>
      <w:r>
        <w:t xml:space="preserve"> y 3) L</w:t>
      </w:r>
      <w:r w:rsidRPr="006A373D">
        <w:t>a</w:t>
      </w:r>
      <w:r>
        <w:t xml:space="preserve"> </w:t>
      </w:r>
      <w:r w:rsidRPr="006A373D">
        <w:t>razón</w:t>
      </w:r>
      <w:r>
        <w:t xml:space="preserve"> </w:t>
      </w:r>
      <w:r w:rsidRPr="006A373D">
        <w:t>de</w:t>
      </w:r>
      <w:r>
        <w:t xml:space="preserve"> </w:t>
      </w:r>
      <w:r w:rsidRPr="006A373D">
        <w:t>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estandarizada</w:t>
      </w:r>
      <w:r>
        <w:t xml:space="preserve"> </w:t>
      </w:r>
      <w:r w:rsidRPr="006A373D">
        <w:t>por</w:t>
      </w:r>
      <w:r>
        <w:t xml:space="preserve"> </w:t>
      </w:r>
      <w:r w:rsidRPr="006A373D">
        <w:t>riesgo</w:t>
      </w:r>
      <w:r>
        <w:t xml:space="preserve"> </w:t>
      </w:r>
      <w:r w:rsidRPr="006A373D">
        <w:t>(RAMER)</w:t>
      </w:r>
      <w:r>
        <w:t xml:space="preserve"> </w:t>
      </w:r>
      <w:r w:rsidRPr="006A373D">
        <w:t>como</w:t>
      </w:r>
      <w:r>
        <w:t xml:space="preserve"> </w:t>
      </w:r>
      <w:r w:rsidRPr="006A373D">
        <w:t>el</w:t>
      </w:r>
      <w:r>
        <w:t xml:space="preserve"> </w:t>
      </w:r>
      <w:r w:rsidRPr="006A373D">
        <w:t>cociente</w:t>
      </w:r>
      <w:r>
        <w:t xml:space="preserve"> </w:t>
      </w:r>
      <w:r w:rsidRPr="006A373D">
        <w:t>entre</w:t>
      </w:r>
      <w:r>
        <w:t xml:space="preserve"> </w:t>
      </w:r>
      <w:r w:rsidRPr="006A373D">
        <w:t>la</w:t>
      </w:r>
      <w:r>
        <w:t xml:space="preserve"> </w:t>
      </w:r>
      <w:r w:rsidRPr="006A373D">
        <w:t>mortalidad</w:t>
      </w:r>
      <w:r>
        <w:t xml:space="preserve"> </w:t>
      </w:r>
      <w:r w:rsidRPr="006A373D">
        <w:t>prevista</w:t>
      </w:r>
      <w:r>
        <w:t xml:space="preserve"> </w:t>
      </w:r>
      <w:r w:rsidRPr="006A373D">
        <w:t>y</w:t>
      </w:r>
      <w:r>
        <w:t xml:space="preserve"> </w:t>
      </w:r>
      <w:r w:rsidRPr="006A373D">
        <w:t>la</w:t>
      </w:r>
      <w:r>
        <w:t xml:space="preserve"> </w:t>
      </w:r>
      <w:r w:rsidRPr="006A373D">
        <w:t>esperada,</w:t>
      </w:r>
      <w:r>
        <w:t xml:space="preserve"> </w:t>
      </w:r>
      <w:r w:rsidRPr="006A373D">
        <w:t>multiplicado</w:t>
      </w:r>
      <w:r>
        <w:t xml:space="preserve"> </w:t>
      </w:r>
      <w:r w:rsidRPr="006A373D">
        <w:t>por</w:t>
      </w:r>
      <w:r>
        <w:t xml:space="preserve"> </w:t>
      </w:r>
      <w:r w:rsidRPr="006A373D">
        <w:t>la</w:t>
      </w:r>
      <w:r>
        <w:t xml:space="preserve"> </w:t>
      </w:r>
      <w:r w:rsidRPr="006A373D">
        <w:t>tasa</w:t>
      </w:r>
      <w:r>
        <w:t xml:space="preserve"> </w:t>
      </w:r>
      <w:r w:rsidRPr="006A373D">
        <w:t>bruta</w:t>
      </w:r>
      <w:r>
        <w:t xml:space="preserve"> </w:t>
      </w:r>
      <w:r w:rsidRPr="006A373D">
        <w:t>de</w:t>
      </w:r>
      <w:r>
        <w:t xml:space="preserve"> </w:t>
      </w:r>
      <w:r w:rsidRPr="006A373D">
        <w:t>mortalidad</w:t>
      </w:r>
      <w:r w:rsidRPr="006A373D">
        <w:rPr>
          <w:vertAlign w:val="superscript"/>
        </w:rPr>
        <w:t>8,10</w:t>
      </w:r>
      <w:r w:rsidRPr="006A373D">
        <w:t>.</w:t>
      </w:r>
    </w:p>
    <w:p w:rsidR="00FF4127" w:rsidRDefault="00FF4127" w:rsidP="00FF4127">
      <w:pPr>
        <w:ind w:firstLine="284"/>
        <w:jc w:val="both"/>
      </w:pPr>
      <w:r w:rsidRPr="006A373D">
        <w:t>La</w:t>
      </w:r>
      <w:r>
        <w:t xml:space="preserve"> </w:t>
      </w:r>
      <w:r w:rsidRPr="006A373D">
        <w:t>RAMER</w:t>
      </w:r>
      <w:r>
        <w:t xml:space="preserve"> </w:t>
      </w:r>
      <w:r w:rsidRPr="006A373D">
        <w:t>es</w:t>
      </w:r>
      <w:r>
        <w:t xml:space="preserve"> </w:t>
      </w:r>
      <w:r w:rsidRPr="006A373D">
        <w:t>un</w:t>
      </w:r>
      <w:r>
        <w:t xml:space="preserve"> </w:t>
      </w:r>
      <w:r w:rsidRPr="006A373D">
        <w:t>valor</w:t>
      </w:r>
      <w:r>
        <w:t xml:space="preserve"> </w:t>
      </w:r>
      <w:r w:rsidRPr="006A373D">
        <w:t>expresado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misma</w:t>
      </w:r>
      <w:r>
        <w:t xml:space="preserve"> </w:t>
      </w:r>
      <w:r w:rsidRPr="006A373D">
        <w:t>magnitud</w:t>
      </w:r>
      <w:r>
        <w:t xml:space="preserve"> </w:t>
      </w:r>
      <w:r w:rsidRPr="006A373D">
        <w:t>que</w:t>
      </w:r>
      <w:r>
        <w:t xml:space="preserve"> </w:t>
      </w:r>
      <w:r w:rsidRPr="006A373D">
        <w:t>la</w:t>
      </w:r>
      <w:r>
        <w:t xml:space="preserve"> </w:t>
      </w:r>
      <w:r w:rsidRPr="006A373D">
        <w:t>tasa</w:t>
      </w:r>
      <w:r>
        <w:t xml:space="preserve"> </w:t>
      </w:r>
      <w:r w:rsidRPr="006A373D">
        <w:t>bruta</w:t>
      </w:r>
      <w:r>
        <w:t xml:space="preserve"> </w:t>
      </w:r>
      <w:r w:rsidRPr="006A373D">
        <w:t>de</w:t>
      </w:r>
      <w:r>
        <w:t xml:space="preserve"> </w:t>
      </w:r>
      <w:r w:rsidRPr="006A373D">
        <w:t>mortalidad;</w:t>
      </w:r>
      <w:r>
        <w:t xml:space="preserve"> </w:t>
      </w:r>
      <w:r w:rsidRPr="006A373D">
        <w:t>de</w:t>
      </w:r>
      <w:r>
        <w:t xml:space="preserve"> </w:t>
      </w:r>
      <w:r w:rsidRPr="006A373D">
        <w:t>forma</w:t>
      </w:r>
      <w:r>
        <w:t xml:space="preserve"> </w:t>
      </w:r>
      <w:proofErr w:type="gramStart"/>
      <w:r w:rsidRPr="006A373D">
        <w:t>que</w:t>
      </w:r>
      <w:proofErr w:type="gramEnd"/>
      <w:r>
        <w:t xml:space="preserve"> </w:t>
      </w:r>
      <w:r w:rsidRPr="006A373D">
        <w:t>si</w:t>
      </w:r>
      <w:r>
        <w:t xml:space="preserve"> </w:t>
      </w:r>
      <w:r w:rsidRPr="006A373D">
        <w:t>la</w:t>
      </w:r>
      <w:r>
        <w:t xml:space="preserve"> </w:t>
      </w:r>
      <w:r w:rsidRPr="006A373D">
        <w:t>razón</w:t>
      </w:r>
      <w:r>
        <w:t xml:space="preserve"> </w:t>
      </w:r>
      <w:r w:rsidRPr="006A373D">
        <w:t>de</w:t>
      </w:r>
      <w:r>
        <w:t xml:space="preserve"> </w:t>
      </w:r>
      <w:r w:rsidRPr="006A373D">
        <w:t>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estandarizada</w:t>
      </w:r>
      <w:r>
        <w:t xml:space="preserve"> </w:t>
      </w:r>
      <w:r w:rsidRPr="006A373D">
        <w:t>por</w:t>
      </w:r>
      <w:r>
        <w:t xml:space="preserve"> </w:t>
      </w:r>
      <w:r w:rsidRPr="006A373D">
        <w:t>riesgo</w:t>
      </w:r>
      <w:r>
        <w:t xml:space="preserve"> </w:t>
      </w:r>
      <w:r w:rsidRPr="006A373D">
        <w:t>de</w:t>
      </w:r>
      <w:r>
        <w:t xml:space="preserve"> </w:t>
      </w:r>
      <w:r w:rsidRPr="006A373D">
        <w:t>un</w:t>
      </w:r>
      <w:r>
        <w:t xml:space="preserve"> </w:t>
      </w:r>
      <w:r w:rsidRPr="006A373D">
        <w:t>hospital</w:t>
      </w:r>
      <w:r>
        <w:t xml:space="preserve"> </w:t>
      </w:r>
      <w:r w:rsidRPr="006A373D">
        <w:t>es</w:t>
      </w:r>
      <w:r>
        <w:t xml:space="preserve"> </w:t>
      </w:r>
      <w:r w:rsidRPr="006A373D">
        <w:t>mayor</w:t>
      </w:r>
      <w:r>
        <w:t xml:space="preserve"> </w:t>
      </w:r>
      <w:r w:rsidRPr="006A373D">
        <w:t>que</w:t>
      </w:r>
      <w:r>
        <w:t xml:space="preserve"> </w:t>
      </w:r>
      <w:r w:rsidRPr="006A373D">
        <w:t>la</w:t>
      </w:r>
      <w:r>
        <w:t xml:space="preserve"> </w:t>
      </w:r>
      <w:r w:rsidRPr="006A373D">
        <w:t>tasa</w:t>
      </w:r>
      <w:r>
        <w:t xml:space="preserve"> </w:t>
      </w:r>
      <w:r w:rsidRPr="006A373D">
        <w:t>bruta</w:t>
      </w:r>
      <w:r>
        <w:t xml:space="preserve"> </w:t>
      </w:r>
      <w:r w:rsidRPr="006A373D">
        <w:t>de</w:t>
      </w:r>
      <w:r>
        <w:t xml:space="preserve"> </w:t>
      </w:r>
      <w:r w:rsidRPr="006A373D">
        <w:t>mortalidad,</w:t>
      </w:r>
      <w:r>
        <w:t xml:space="preserve"> </w:t>
      </w:r>
      <w:r w:rsidRPr="006A373D">
        <w:t>significa</w:t>
      </w:r>
      <w:r>
        <w:t xml:space="preserve"> </w:t>
      </w:r>
      <w:r w:rsidRPr="006A373D">
        <w:t>que</w:t>
      </w:r>
      <w:r>
        <w:t xml:space="preserve"> </w:t>
      </w:r>
      <w:r w:rsidRPr="006A373D">
        <w:t>la</w:t>
      </w:r>
      <w:r>
        <w:t xml:space="preserve"> </w:t>
      </w:r>
      <w:r w:rsidRPr="006A373D">
        <w:t>probabilidad</w:t>
      </w:r>
      <w:r>
        <w:t xml:space="preserve"> </w:t>
      </w:r>
      <w:r w:rsidRPr="006A373D">
        <w:t>de</w:t>
      </w:r>
      <w:r>
        <w:t xml:space="preserve"> </w:t>
      </w:r>
      <w:r w:rsidRPr="006A373D">
        <w:t>letalidad</w:t>
      </w:r>
      <w:r>
        <w:t xml:space="preserve"> </w:t>
      </w:r>
      <w:r w:rsidRPr="006A373D">
        <w:t>en</w:t>
      </w:r>
      <w:r>
        <w:t xml:space="preserve"> </w:t>
      </w:r>
      <w:r w:rsidRPr="006A373D">
        <w:t>dicho</w:t>
      </w:r>
      <w:r>
        <w:t xml:space="preserve"> </w:t>
      </w:r>
      <w:r w:rsidRPr="006A373D">
        <w:t>hospital</w:t>
      </w:r>
      <w:r>
        <w:t xml:space="preserve"> </w:t>
      </w:r>
      <w:r w:rsidRPr="006A373D">
        <w:t>a</w:t>
      </w:r>
      <w:r>
        <w:t xml:space="preserve"> </w:t>
      </w:r>
      <w:r w:rsidRPr="006A373D">
        <w:t>causa</w:t>
      </w:r>
      <w:r>
        <w:t xml:space="preserve"> </w:t>
      </w:r>
      <w:r w:rsidRPr="006A373D">
        <w:t>de</w:t>
      </w:r>
      <w:r>
        <w:t xml:space="preserve"> </w:t>
      </w:r>
      <w:r w:rsidRPr="006A373D">
        <w:t>factores</w:t>
      </w:r>
      <w:r>
        <w:t xml:space="preserve"> </w:t>
      </w:r>
      <w:r w:rsidRPr="006A373D">
        <w:t>relacionados</w:t>
      </w:r>
      <w:r>
        <w:t xml:space="preserve"> </w:t>
      </w:r>
      <w:r w:rsidRPr="006A373D">
        <w:t>con</w:t>
      </w:r>
      <w:r>
        <w:t xml:space="preserve"> </w:t>
      </w:r>
      <w:r w:rsidRPr="006A373D">
        <w:t>su</w:t>
      </w:r>
      <w:r>
        <w:t xml:space="preserve"> </w:t>
      </w:r>
      <w:r w:rsidRPr="006A373D">
        <w:t>funcionamiento</w:t>
      </w:r>
      <w:r>
        <w:t xml:space="preserve"> </w:t>
      </w:r>
      <w:r w:rsidRPr="006A373D">
        <w:t>es</w:t>
      </w:r>
      <w:r>
        <w:t xml:space="preserve"> </w:t>
      </w:r>
      <w:r w:rsidRPr="006A373D">
        <w:t>mayor</w:t>
      </w:r>
      <w:r>
        <w:t xml:space="preserve"> </w:t>
      </w:r>
      <w:r w:rsidRPr="006A373D">
        <w:t>que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media</w:t>
      </w:r>
      <w:r>
        <w:t xml:space="preserve"> </w:t>
      </w:r>
      <w:r w:rsidRPr="006A373D">
        <w:t>de</w:t>
      </w:r>
      <w:r>
        <w:t xml:space="preserve"> </w:t>
      </w:r>
      <w:r w:rsidRPr="006A373D">
        <w:t>los</w:t>
      </w:r>
      <w:r>
        <w:t xml:space="preserve"> </w:t>
      </w:r>
      <w:r w:rsidRPr="006A373D">
        <w:t>hospitales</w:t>
      </w:r>
      <w:r>
        <w:t xml:space="preserve"> </w:t>
      </w:r>
      <w:r w:rsidRPr="006A373D">
        <w:t>considerados.</w:t>
      </w:r>
    </w:p>
    <w:p w:rsidR="00FF4127" w:rsidRPr="006A373D" w:rsidRDefault="00FF4127" w:rsidP="00FF4127">
      <w:pPr>
        <w:jc w:val="both"/>
      </w:pPr>
    </w:p>
    <w:p w:rsidR="00FF4127" w:rsidRPr="006A373D" w:rsidRDefault="00FF4127" w:rsidP="00FF4127">
      <w:pPr>
        <w:widowControl w:val="0"/>
        <w:jc w:val="both"/>
        <w:rPr>
          <w:b/>
        </w:rPr>
      </w:pPr>
      <w:r w:rsidRPr="006A373D">
        <w:rPr>
          <w:b/>
        </w:rPr>
        <w:t>Ajuste</w:t>
      </w:r>
      <w:r>
        <w:rPr>
          <w:b/>
        </w:rPr>
        <w:t xml:space="preserve"> </w:t>
      </w:r>
      <w:r w:rsidRPr="006A373D">
        <w:rPr>
          <w:b/>
        </w:rPr>
        <w:t>para</w:t>
      </w:r>
      <w:r>
        <w:rPr>
          <w:b/>
        </w:rPr>
        <w:t xml:space="preserve"> </w:t>
      </w:r>
      <w:r w:rsidRPr="006A373D">
        <w:rPr>
          <w:b/>
        </w:rPr>
        <w:t>evaluar</w:t>
      </w:r>
      <w:r>
        <w:rPr>
          <w:b/>
        </w:rPr>
        <w:t xml:space="preserve"> </w:t>
      </w:r>
      <w:r w:rsidRPr="006A373D">
        <w:rPr>
          <w:b/>
        </w:rPr>
        <w:t>el</w:t>
      </w:r>
      <w:r>
        <w:rPr>
          <w:b/>
        </w:rPr>
        <w:t xml:space="preserve"> </w:t>
      </w:r>
      <w:r w:rsidRPr="006A373D">
        <w:rPr>
          <w:b/>
        </w:rPr>
        <w:t>impacto</w:t>
      </w:r>
      <w:r>
        <w:rPr>
          <w:b/>
        </w:rPr>
        <w:t xml:space="preserve"> </w:t>
      </w:r>
      <w:r w:rsidRPr="006A373D">
        <w:rPr>
          <w:b/>
        </w:rPr>
        <w:t>de</w:t>
      </w:r>
      <w:r>
        <w:rPr>
          <w:b/>
        </w:rPr>
        <w:t xml:space="preserve"> </w:t>
      </w:r>
      <w:r w:rsidRPr="006A373D">
        <w:rPr>
          <w:b/>
        </w:rPr>
        <w:t>la</w:t>
      </w:r>
      <w:r>
        <w:rPr>
          <w:b/>
        </w:rPr>
        <w:t xml:space="preserve"> </w:t>
      </w:r>
      <w:r w:rsidRPr="006A373D">
        <w:rPr>
          <w:b/>
        </w:rPr>
        <w:t>implementación</w:t>
      </w:r>
      <w:r>
        <w:rPr>
          <w:b/>
        </w:rPr>
        <w:t xml:space="preserve"> </w:t>
      </w:r>
      <w:r w:rsidRPr="006A373D">
        <w:rPr>
          <w:b/>
        </w:rPr>
        <w:t>de</w:t>
      </w:r>
      <w:r>
        <w:rPr>
          <w:b/>
        </w:rPr>
        <w:t xml:space="preserve"> </w:t>
      </w:r>
      <w:r w:rsidRPr="006A373D">
        <w:rPr>
          <w:b/>
        </w:rPr>
        <w:t>sistemas</w:t>
      </w:r>
      <w:r>
        <w:rPr>
          <w:b/>
        </w:rPr>
        <w:t xml:space="preserve"> </w:t>
      </w:r>
      <w:r w:rsidRPr="006A373D">
        <w:rPr>
          <w:b/>
        </w:rPr>
        <w:t>organizados</w:t>
      </w:r>
      <w:r>
        <w:rPr>
          <w:b/>
        </w:rPr>
        <w:t xml:space="preserve"> </w:t>
      </w:r>
      <w:r w:rsidRPr="006A373D">
        <w:rPr>
          <w:b/>
        </w:rPr>
        <w:t>para</w:t>
      </w:r>
      <w:r>
        <w:rPr>
          <w:b/>
        </w:rPr>
        <w:t xml:space="preserve"> </w:t>
      </w:r>
      <w:r w:rsidRPr="006A373D">
        <w:rPr>
          <w:b/>
        </w:rPr>
        <w:t>la</w:t>
      </w:r>
      <w:r>
        <w:rPr>
          <w:b/>
        </w:rPr>
        <w:t xml:space="preserve"> </w:t>
      </w:r>
      <w:r w:rsidRPr="006A373D">
        <w:rPr>
          <w:b/>
        </w:rPr>
        <w:t>atención</w:t>
      </w:r>
      <w:r>
        <w:rPr>
          <w:b/>
        </w:rPr>
        <w:t xml:space="preserve"> </w:t>
      </w:r>
      <w:r w:rsidRPr="006A373D">
        <w:rPr>
          <w:b/>
        </w:rPr>
        <w:t>del</w:t>
      </w:r>
      <w:r>
        <w:rPr>
          <w:b/>
        </w:rPr>
        <w:t xml:space="preserve"> infarto agudo de miocardio con elevación del segmento ST</w:t>
      </w:r>
    </w:p>
    <w:p w:rsidR="00FF4127" w:rsidRPr="006A373D" w:rsidRDefault="00FF4127" w:rsidP="00FF4127">
      <w:pPr>
        <w:widowControl w:val="0"/>
        <w:ind w:firstLine="284"/>
        <w:jc w:val="both"/>
      </w:pPr>
      <w:r w:rsidRPr="006A373D">
        <w:t>A</w:t>
      </w:r>
      <w:r>
        <w:t xml:space="preserve"> </w:t>
      </w:r>
      <w:r w:rsidRPr="006A373D">
        <w:t>partir</w:t>
      </w:r>
      <w:r>
        <w:t xml:space="preserve"> </w:t>
      </w:r>
      <w:r w:rsidRPr="006A373D">
        <w:t>de</w:t>
      </w:r>
      <w:r>
        <w:t xml:space="preserve"> </w:t>
      </w:r>
      <w:r w:rsidRPr="006A373D">
        <w:t>la</w:t>
      </w:r>
      <w:r>
        <w:t xml:space="preserve"> </w:t>
      </w:r>
      <w:r w:rsidRPr="006A373D">
        <w:t>RAMER</w:t>
      </w:r>
      <w:r>
        <w:t xml:space="preserve"> </w:t>
      </w:r>
      <w:r w:rsidRPr="006A373D">
        <w:t>y</w:t>
      </w:r>
      <w:r>
        <w:t xml:space="preserve"> </w:t>
      </w:r>
      <w:r w:rsidRPr="006A373D">
        <w:t>la</w:t>
      </w:r>
      <w:r>
        <w:t xml:space="preserve"> </w:t>
      </w:r>
      <w:r w:rsidRPr="006A373D">
        <w:t>tasa</w:t>
      </w:r>
      <w:r>
        <w:t xml:space="preserve"> </w:t>
      </w:r>
      <w:r w:rsidRPr="006A373D">
        <w:t>de</w:t>
      </w:r>
      <w:r>
        <w:t xml:space="preserve"> </w:t>
      </w:r>
      <w:r w:rsidRPr="006A373D">
        <w:t>PCI</w:t>
      </w:r>
      <w:r>
        <w:t xml:space="preserve"> </w:t>
      </w:r>
      <w:r w:rsidRPr="006A373D">
        <w:t>por</w:t>
      </w:r>
      <w:r>
        <w:t xml:space="preserve"> </w:t>
      </w:r>
      <w:r w:rsidRPr="006A373D">
        <w:t>comunidad</w:t>
      </w:r>
      <w:r>
        <w:t xml:space="preserve"> </w:t>
      </w:r>
      <w:r w:rsidRPr="006A373D">
        <w:t>autónoma</w:t>
      </w:r>
      <w:r>
        <w:t xml:space="preserve"> </w:t>
      </w:r>
      <w:r w:rsidRPr="006A373D">
        <w:t>y</w:t>
      </w:r>
      <w:r>
        <w:t xml:space="preserve"> </w:t>
      </w:r>
      <w:r w:rsidRPr="006A373D">
        <w:t>año,</w:t>
      </w:r>
      <w:r>
        <w:t xml:space="preserve"> </w:t>
      </w:r>
      <w:r w:rsidRPr="006A373D">
        <w:t>se</w:t>
      </w:r>
      <w:r>
        <w:t xml:space="preserve"> </w:t>
      </w:r>
      <w:r w:rsidRPr="006A373D">
        <w:t>especificaron</w:t>
      </w:r>
      <w:r>
        <w:t xml:space="preserve"> </w:t>
      </w:r>
      <w:r w:rsidRPr="006A373D">
        <w:t>diferentes</w:t>
      </w:r>
      <w:r>
        <w:t xml:space="preserve"> </w:t>
      </w:r>
      <w:r w:rsidRPr="006A373D">
        <w:t>modelos</w:t>
      </w:r>
      <w:r>
        <w:t xml:space="preserve"> </w:t>
      </w:r>
      <w:r w:rsidRPr="006A373D">
        <w:t>para</w:t>
      </w:r>
      <w:r>
        <w:t xml:space="preserve"> </w:t>
      </w:r>
      <w:r w:rsidRPr="006A373D">
        <w:t>evaluar</w:t>
      </w:r>
      <w:r>
        <w:t xml:space="preserve"> </w:t>
      </w:r>
      <w:r w:rsidRPr="006A373D">
        <w:t>el</w:t>
      </w:r>
      <w:r>
        <w:t xml:space="preserve"> </w:t>
      </w:r>
      <w:r w:rsidRPr="006A373D">
        <w:t>impacto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intervenciones</w:t>
      </w:r>
      <w:r>
        <w:t xml:space="preserve"> </w:t>
      </w:r>
      <w:r w:rsidRPr="006A373D">
        <w:t>(puesta</w:t>
      </w:r>
      <w:r>
        <w:t xml:space="preserve"> </w:t>
      </w:r>
      <w:r w:rsidRPr="006A373D">
        <w:t>en</w:t>
      </w:r>
      <w:r>
        <w:t xml:space="preserve"> </w:t>
      </w:r>
      <w:r w:rsidRPr="006A373D">
        <w:t>marcha</w:t>
      </w:r>
      <w:r>
        <w:t xml:space="preserve"> </w:t>
      </w:r>
      <w:r w:rsidRPr="006A373D">
        <w:t>de</w:t>
      </w:r>
      <w:r>
        <w:t xml:space="preserve"> </w:t>
      </w:r>
      <w:r w:rsidRPr="006A373D">
        <w:t>sistemas</w:t>
      </w:r>
      <w:r>
        <w:t xml:space="preserve"> </w:t>
      </w:r>
      <w:r w:rsidRPr="006A373D">
        <w:t>organizados</w:t>
      </w:r>
      <w:r>
        <w:t xml:space="preserve"> </w:t>
      </w:r>
      <w:r w:rsidRPr="006A373D">
        <w:t>de</w:t>
      </w:r>
      <w:r>
        <w:t xml:space="preserve"> </w:t>
      </w:r>
      <w:r w:rsidRPr="006A373D">
        <w:t>atención</w:t>
      </w:r>
      <w:r>
        <w:t xml:space="preserve"> </w:t>
      </w:r>
      <w:r w:rsidRPr="006A373D">
        <w:t>al</w:t>
      </w:r>
      <w:r>
        <w:t xml:space="preserve"> </w:t>
      </w:r>
      <w:r w:rsidRPr="00890298">
        <w:t>infarto</w:t>
      </w:r>
      <w:r>
        <w:t xml:space="preserve"> </w:t>
      </w:r>
      <w:r w:rsidRPr="00890298">
        <w:t>agudo</w:t>
      </w:r>
      <w:r>
        <w:t xml:space="preserve"> </w:t>
      </w:r>
      <w:r w:rsidRPr="00890298">
        <w:t>de</w:t>
      </w:r>
      <w:r>
        <w:t xml:space="preserve"> </w:t>
      </w:r>
      <w:r w:rsidRPr="00890298">
        <w:t>miocardio</w:t>
      </w:r>
      <w:r>
        <w:t xml:space="preserve"> </w:t>
      </w:r>
      <w:r w:rsidRPr="00890298">
        <w:t>con</w:t>
      </w:r>
      <w:r>
        <w:t xml:space="preserve"> </w:t>
      </w:r>
      <w:r w:rsidRPr="00890298">
        <w:t>elevación</w:t>
      </w:r>
      <w:r>
        <w:t xml:space="preserve"> </w:t>
      </w:r>
      <w:r w:rsidRPr="00890298">
        <w:t>del</w:t>
      </w:r>
      <w:r>
        <w:t xml:space="preserve"> </w:t>
      </w:r>
      <w:r w:rsidRPr="00890298">
        <w:t>segmento</w:t>
      </w:r>
      <w:r>
        <w:t xml:space="preserve"> </w:t>
      </w:r>
      <w:r w:rsidRPr="00890298">
        <w:t>ST</w:t>
      </w:r>
      <w:r>
        <w:t xml:space="preserve"> </w:t>
      </w:r>
      <w:r w:rsidRPr="006A373D">
        <w:t>en</w:t>
      </w:r>
      <w:r>
        <w:t xml:space="preserve"> </w:t>
      </w:r>
      <w:r w:rsidRPr="006A373D">
        <w:t>las</w:t>
      </w:r>
      <w:r>
        <w:t xml:space="preserve"> </w:t>
      </w:r>
      <w:r w:rsidRPr="006A373D">
        <w:t>diferentes</w:t>
      </w:r>
      <w:r>
        <w:t xml:space="preserve"> </w:t>
      </w:r>
      <w:r w:rsidRPr="006A373D">
        <w:t>comunidades</w:t>
      </w:r>
      <w:r>
        <w:t xml:space="preserve"> </w:t>
      </w:r>
      <w:r w:rsidRPr="006A373D">
        <w:t>autónomas)</w:t>
      </w:r>
      <w:r>
        <w:t xml:space="preserve"> </w:t>
      </w:r>
      <w:r w:rsidRPr="006A373D">
        <w:t>en</w:t>
      </w:r>
      <w:r>
        <w:t xml:space="preserve"> </w:t>
      </w:r>
      <w:r w:rsidRPr="006A373D">
        <w:t>la</w:t>
      </w:r>
      <w:r>
        <w:t xml:space="preserve"> </w:t>
      </w:r>
      <w:r w:rsidRPr="006A373D">
        <w:t>razón</w:t>
      </w:r>
      <w:r>
        <w:t xml:space="preserve"> </w:t>
      </w:r>
      <w:r w:rsidRPr="006A373D">
        <w:t>de</w:t>
      </w:r>
      <w:r>
        <w:t xml:space="preserve"> </w:t>
      </w:r>
      <w:r w:rsidRPr="006A373D">
        <w:t>incidencia</w:t>
      </w:r>
      <w:r>
        <w:t xml:space="preserve"> </w:t>
      </w:r>
      <w:r w:rsidRPr="006A373D">
        <w:t>(RI)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de</w:t>
      </w:r>
      <w:r>
        <w:t xml:space="preserve"> </w:t>
      </w:r>
      <w:r w:rsidRPr="006A373D">
        <w:t>resultado.</w:t>
      </w:r>
      <w:r>
        <w:t xml:space="preserve"> </w:t>
      </w:r>
      <w:r w:rsidRPr="006A373D">
        <w:t>Se</w:t>
      </w:r>
      <w:r>
        <w:t xml:space="preserve"> </w:t>
      </w:r>
      <w:r w:rsidRPr="006A373D">
        <w:t>evaluó</w:t>
      </w:r>
      <w:r>
        <w:t xml:space="preserve"> </w:t>
      </w:r>
      <w:r w:rsidRPr="006A373D">
        <w:t>la</w:t>
      </w:r>
      <w:r>
        <w:t xml:space="preserve"> </w:t>
      </w:r>
      <w:r w:rsidRPr="006A373D">
        <w:t>bondad</w:t>
      </w:r>
      <w:r>
        <w:t xml:space="preserve"> </w:t>
      </w:r>
      <w:r w:rsidRPr="006A373D">
        <w:t>del</w:t>
      </w:r>
      <w:r>
        <w:t xml:space="preserve"> </w:t>
      </w:r>
      <w:r w:rsidRPr="006A373D">
        <w:t>ajuste</w:t>
      </w:r>
      <w:r>
        <w:t xml:space="preserve"> </w:t>
      </w:r>
      <w:r w:rsidRPr="006A373D">
        <w:t>de</w:t>
      </w:r>
      <w:r>
        <w:t xml:space="preserve"> </w:t>
      </w:r>
      <w:r w:rsidRPr="006A373D">
        <w:t>los</w:t>
      </w:r>
      <w:r>
        <w:t xml:space="preserve"> </w:t>
      </w:r>
      <w:r w:rsidRPr="006A373D">
        <w:t>diferentes</w:t>
      </w:r>
      <w:r>
        <w:t xml:space="preserve"> </w:t>
      </w:r>
      <w:r w:rsidRPr="006A373D">
        <w:t>modelos</w:t>
      </w:r>
      <w:r>
        <w:t xml:space="preserve"> </w:t>
      </w:r>
      <w:r w:rsidRPr="006A373D">
        <w:t>calculados</w:t>
      </w:r>
      <w:r>
        <w:t xml:space="preserve"> </w:t>
      </w:r>
      <w:r w:rsidRPr="006A373D">
        <w:t>y</w:t>
      </w:r>
      <w:r>
        <w:t xml:space="preserve"> </w:t>
      </w:r>
      <w:r w:rsidRPr="006A373D">
        <w:t>se</w:t>
      </w:r>
      <w:r>
        <w:t xml:space="preserve"> </w:t>
      </w:r>
      <w:r w:rsidRPr="006A373D">
        <w:t>obtuvo</w:t>
      </w:r>
      <w:r>
        <w:t xml:space="preserve"> </w:t>
      </w:r>
      <w:r w:rsidRPr="006A373D">
        <w:t>un</w:t>
      </w:r>
      <w:r>
        <w:t xml:space="preserve"> </w:t>
      </w:r>
      <w:r w:rsidRPr="006A373D">
        <w:t>ajuste</w:t>
      </w:r>
      <w:r>
        <w:t xml:space="preserve"> </w:t>
      </w:r>
      <w:r w:rsidRPr="006A373D">
        <w:t>razonablemente</w:t>
      </w:r>
      <w:r>
        <w:t xml:space="preserve"> </w:t>
      </w:r>
      <w:r w:rsidRPr="006A373D">
        <w:t>bueno</w:t>
      </w:r>
      <w:r>
        <w:t xml:space="preserve"> </w:t>
      </w:r>
      <w:r w:rsidRPr="006A373D">
        <w:t>para</w:t>
      </w:r>
      <w:r>
        <w:t xml:space="preserve"> </w:t>
      </w:r>
      <w:r w:rsidRPr="006A373D">
        <w:t>la</w:t>
      </w:r>
      <w:r>
        <w:t xml:space="preserve"> </w:t>
      </w:r>
      <w:r w:rsidRPr="006A373D">
        <w:t>RAMER</w:t>
      </w:r>
      <w:r>
        <w:t xml:space="preserve"> </w:t>
      </w:r>
      <w:r w:rsidRPr="006A373D">
        <w:t>con</w:t>
      </w:r>
      <w:r>
        <w:t xml:space="preserve"> </w:t>
      </w:r>
      <w:r w:rsidRPr="006A373D">
        <w:t>el</w:t>
      </w:r>
      <w:r>
        <w:t xml:space="preserve"> </w:t>
      </w:r>
      <w:r w:rsidRPr="006A373D">
        <w:t>modelo</w:t>
      </w:r>
      <w:r>
        <w:t xml:space="preserve"> </w:t>
      </w:r>
      <w:r w:rsidRPr="006A373D">
        <w:t>de</w:t>
      </w:r>
      <w:r>
        <w:t xml:space="preserve"> </w:t>
      </w:r>
      <w:r w:rsidRPr="006A373D">
        <w:t>regresión</w:t>
      </w:r>
      <w:r>
        <w:t xml:space="preserve"> </w:t>
      </w:r>
      <w:r w:rsidRPr="006A373D">
        <w:t>de</w:t>
      </w:r>
      <w:r>
        <w:t xml:space="preserve"> </w:t>
      </w:r>
      <w:proofErr w:type="spellStart"/>
      <w:r w:rsidRPr="006A373D">
        <w:t>Poisson</w:t>
      </w:r>
      <w:proofErr w:type="spellEnd"/>
      <w:r>
        <w:t xml:space="preserve"> </w:t>
      </w:r>
      <w:r w:rsidRPr="006A373D">
        <w:t>(el</w:t>
      </w:r>
      <w:r>
        <w:t xml:space="preserve"> </w:t>
      </w:r>
      <w:r w:rsidRPr="006A373D">
        <w:t>test</w:t>
      </w:r>
      <w:r>
        <w:t xml:space="preserve"> </w:t>
      </w:r>
      <w:r w:rsidRPr="006A373D">
        <w:t>de</w:t>
      </w:r>
      <w:r>
        <w:t xml:space="preserve"> </w:t>
      </w:r>
      <w:r w:rsidRPr="006A373D">
        <w:t>la</w:t>
      </w:r>
      <w:r>
        <w:t xml:space="preserve"> </w:t>
      </w:r>
      <w:r w:rsidRPr="00890298">
        <w:t>χ2</w:t>
      </w:r>
      <w:r>
        <w:t xml:space="preserve"> </w:t>
      </w:r>
      <w:r w:rsidRPr="006A373D">
        <w:t>no</w:t>
      </w:r>
      <w:r>
        <w:t xml:space="preserve"> </w:t>
      </w:r>
      <w:r w:rsidRPr="006A373D">
        <w:t>fue</w:t>
      </w:r>
      <w:r>
        <w:t xml:space="preserve"> </w:t>
      </w:r>
      <w:r w:rsidRPr="006A373D">
        <w:t>estadísticamente</w:t>
      </w:r>
      <w:r>
        <w:t xml:space="preserve"> </w:t>
      </w:r>
      <w:r w:rsidRPr="006A373D">
        <w:t>significativo).</w:t>
      </w:r>
      <w:r>
        <w:t xml:space="preserve"> </w:t>
      </w:r>
      <w:r w:rsidRPr="006A373D">
        <w:t>Para</w:t>
      </w:r>
      <w:r>
        <w:t xml:space="preserve"> </w:t>
      </w:r>
      <w:r w:rsidRPr="006A373D">
        <w:t>el</w:t>
      </w:r>
      <w:r>
        <w:t xml:space="preserve"> </w:t>
      </w:r>
      <w:r w:rsidRPr="006A373D">
        <w:t>análisis</w:t>
      </w:r>
      <w:r>
        <w:t xml:space="preserve"> </w:t>
      </w:r>
      <w:r w:rsidRPr="006A373D">
        <w:t>de</w:t>
      </w:r>
      <w:r>
        <w:t xml:space="preserve"> </w:t>
      </w:r>
      <w:r w:rsidRPr="006A373D">
        <w:t>los</w:t>
      </w:r>
      <w:r>
        <w:t xml:space="preserve"> </w:t>
      </w:r>
      <w:r w:rsidRPr="006A373D">
        <w:t>procedimientos</w:t>
      </w:r>
      <w:r>
        <w:t xml:space="preserve"> </w:t>
      </w:r>
      <w:r w:rsidRPr="006A373D">
        <w:t>de</w:t>
      </w:r>
      <w:r>
        <w:t xml:space="preserve"> </w:t>
      </w:r>
      <w:r w:rsidRPr="006A373D">
        <w:t>PCI,</w:t>
      </w:r>
      <w:r>
        <w:t xml:space="preserve"> </w:t>
      </w:r>
      <w:r w:rsidRPr="006A373D">
        <w:t>debido</w:t>
      </w:r>
      <w:r>
        <w:t xml:space="preserve"> </w:t>
      </w:r>
      <w:r w:rsidRPr="006A373D">
        <w:t>a</w:t>
      </w:r>
      <w:r>
        <w:t xml:space="preserve"> </w:t>
      </w:r>
      <w:r w:rsidRPr="006A373D">
        <w:t>la</w:t>
      </w:r>
      <w:r>
        <w:t xml:space="preserve"> </w:t>
      </w:r>
      <w:r w:rsidRPr="006A373D">
        <w:t>existencia</w:t>
      </w:r>
      <w:r>
        <w:t xml:space="preserve"> </w:t>
      </w:r>
      <w:r w:rsidRPr="006A373D">
        <w:t>de</w:t>
      </w:r>
      <w:r>
        <w:t xml:space="preserve"> </w:t>
      </w:r>
      <w:proofErr w:type="spellStart"/>
      <w:r w:rsidRPr="006A373D">
        <w:t>sobredispersión</w:t>
      </w:r>
      <w:proofErr w:type="spellEnd"/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datos,</w:t>
      </w:r>
      <w:r>
        <w:t xml:space="preserve"> </w:t>
      </w:r>
      <w:r w:rsidRPr="006A373D">
        <w:t>se</w:t>
      </w:r>
      <w:r>
        <w:t xml:space="preserve"> </w:t>
      </w:r>
      <w:r w:rsidRPr="006A373D">
        <w:lastRenderedPageBreak/>
        <w:t>ajustó</w:t>
      </w:r>
      <w:r>
        <w:t xml:space="preserve"> </w:t>
      </w:r>
      <w:r w:rsidRPr="006A373D">
        <w:t>un</w:t>
      </w:r>
      <w:r>
        <w:t xml:space="preserve"> </w:t>
      </w:r>
      <w:r w:rsidRPr="006A373D">
        <w:t>modelo</w:t>
      </w:r>
      <w:r>
        <w:t xml:space="preserve"> </w:t>
      </w:r>
      <w:r w:rsidRPr="006A373D">
        <w:t>de</w:t>
      </w:r>
      <w:r>
        <w:t xml:space="preserve"> </w:t>
      </w:r>
      <w:r w:rsidRPr="006A373D">
        <w:t>regresión</w:t>
      </w:r>
      <w:r>
        <w:t xml:space="preserve"> </w:t>
      </w:r>
      <w:r w:rsidRPr="006A373D">
        <w:t>binomial</w:t>
      </w:r>
      <w:r>
        <w:t xml:space="preserve"> </w:t>
      </w:r>
      <w:r w:rsidRPr="006A373D">
        <w:t>negativa</w:t>
      </w:r>
      <w:r>
        <w:t xml:space="preserve"> </w:t>
      </w:r>
      <w:r w:rsidRPr="006A373D">
        <w:t>y</w:t>
      </w:r>
      <w:r>
        <w:t xml:space="preserve"> </w:t>
      </w:r>
      <w:r w:rsidRPr="006A373D">
        <w:t>se</w:t>
      </w:r>
      <w:r>
        <w:t xml:space="preserve"> </w:t>
      </w:r>
      <w:r w:rsidRPr="006A373D">
        <w:t>estimó</w:t>
      </w:r>
      <w:r>
        <w:t xml:space="preserve"> </w:t>
      </w:r>
      <w:r w:rsidRPr="006A373D">
        <w:t>el</w:t>
      </w:r>
      <w:r>
        <w:t xml:space="preserve"> </w:t>
      </w:r>
      <w:r w:rsidRPr="006A373D">
        <w:t>parámetro</w:t>
      </w:r>
      <w:r>
        <w:t xml:space="preserve"> </w:t>
      </w:r>
      <w:r w:rsidRPr="006A373D">
        <w:t>de</w:t>
      </w:r>
      <w:r>
        <w:t xml:space="preserve"> </w:t>
      </w:r>
      <w:proofErr w:type="spellStart"/>
      <w:r w:rsidRPr="006A373D">
        <w:t>sobredispresión</w:t>
      </w:r>
      <w:proofErr w:type="spellEnd"/>
      <w:r>
        <w:t xml:space="preserve"> </w:t>
      </w:r>
      <w:r w:rsidRPr="006A373D">
        <w:t>(</w:t>
      </w:r>
      <w:proofErr w:type="spellStart"/>
      <w:r w:rsidRPr="006A373D">
        <w:t>lnalpha</w:t>
      </w:r>
      <w:proofErr w:type="spellEnd"/>
      <w:r>
        <w:t xml:space="preserve"> </w:t>
      </w:r>
      <w:r w:rsidRPr="006A373D">
        <w:t>&lt;</w:t>
      </w:r>
      <w:r>
        <w:t xml:space="preserve"> </w:t>
      </w:r>
      <w:r w:rsidRPr="006A373D">
        <w:t>0,05),</w:t>
      </w:r>
      <w:r>
        <w:t xml:space="preserve"> </w:t>
      </w:r>
      <w:r w:rsidRPr="006A373D">
        <w:t>por</w:t>
      </w:r>
      <w:r>
        <w:t xml:space="preserve"> </w:t>
      </w:r>
      <w:r w:rsidRPr="006A373D">
        <w:t>lo</w:t>
      </w:r>
      <w:r>
        <w:t xml:space="preserve"> </w:t>
      </w:r>
      <w:r w:rsidRPr="006A373D">
        <w:t>que</w:t>
      </w:r>
      <w:r>
        <w:t xml:space="preserve"> </w:t>
      </w:r>
      <w:r w:rsidRPr="006A373D">
        <w:t>se</w:t>
      </w:r>
      <w:r>
        <w:t xml:space="preserve"> </w:t>
      </w:r>
      <w:r w:rsidRPr="006A373D">
        <w:t>consideró</w:t>
      </w:r>
      <w:r>
        <w:t xml:space="preserve"> </w:t>
      </w:r>
      <w:r w:rsidRPr="006A373D">
        <w:t>este</w:t>
      </w:r>
      <w:r>
        <w:t xml:space="preserve"> </w:t>
      </w:r>
      <w:r w:rsidRPr="006A373D">
        <w:t>modelo</w:t>
      </w:r>
      <w:r>
        <w:t xml:space="preserve"> </w:t>
      </w:r>
      <w:r w:rsidRPr="006A373D">
        <w:t>más</w:t>
      </w:r>
      <w:r>
        <w:t xml:space="preserve"> </w:t>
      </w:r>
      <w:r w:rsidRPr="006A373D">
        <w:t>adecuado</w:t>
      </w:r>
      <w:r>
        <w:t xml:space="preserve"> </w:t>
      </w:r>
      <w:r w:rsidRPr="006A373D">
        <w:t>que</w:t>
      </w:r>
      <w:r>
        <w:t xml:space="preserve"> </w:t>
      </w:r>
      <w:r w:rsidRPr="006A373D">
        <w:t>el</w:t>
      </w:r>
      <w:r>
        <w:t xml:space="preserve"> </w:t>
      </w:r>
      <w:r w:rsidRPr="006A373D">
        <w:t>de</w:t>
      </w:r>
      <w:r>
        <w:t xml:space="preserve"> </w:t>
      </w:r>
      <w:r w:rsidRPr="006A373D">
        <w:t>Poissson</w:t>
      </w:r>
      <w:r w:rsidRPr="006A373D">
        <w:rPr>
          <w:vertAlign w:val="superscript"/>
        </w:rPr>
        <w:t>11</w:t>
      </w:r>
      <w:r w:rsidRPr="006A373D">
        <w:t>.</w:t>
      </w:r>
    </w:p>
    <w:p w:rsidR="00FF4127" w:rsidRPr="006A373D" w:rsidRDefault="00FF4127" w:rsidP="00FF4127">
      <w:pPr>
        <w:jc w:val="both"/>
        <w:rPr>
          <w:rFonts w:cs="Times New Roman"/>
          <w:b/>
          <w:caps/>
          <w:color w:val="943634"/>
          <w:lang w:val="it-IT"/>
        </w:rPr>
      </w:pPr>
      <w:r w:rsidRPr="006A373D">
        <w:br w:type="page"/>
      </w:r>
    </w:p>
    <w:p w:rsidR="00FF4127" w:rsidRPr="008B0EA4" w:rsidRDefault="00FF4127" w:rsidP="00FF4127">
      <w:pPr>
        <w:jc w:val="both"/>
        <w:rPr>
          <w:b/>
          <w:color w:val="943634" w:themeColor="accent2" w:themeShade="BF"/>
        </w:rPr>
      </w:pPr>
      <w:r w:rsidRPr="008B0EA4">
        <w:rPr>
          <w:b/>
          <w:color w:val="943634" w:themeColor="accent2" w:themeShade="BF"/>
        </w:rPr>
        <w:lastRenderedPageBreak/>
        <w:t>Tabla 1</w:t>
      </w:r>
    </w:p>
    <w:p w:rsidR="00FF4127" w:rsidRPr="006A373D" w:rsidRDefault="00FF4127" w:rsidP="00FF4127">
      <w:pPr>
        <w:jc w:val="both"/>
      </w:pPr>
      <w:r w:rsidRPr="006A373D">
        <w:t>Distribución</w:t>
      </w:r>
      <w:r>
        <w:t xml:space="preserve"> </w:t>
      </w:r>
      <w:r w:rsidRPr="006A373D">
        <w:t>de</w:t>
      </w:r>
      <w:r>
        <w:t xml:space="preserve"> </w:t>
      </w:r>
      <w:r w:rsidRPr="006A373D">
        <w:t>altas</w:t>
      </w:r>
      <w:r>
        <w:t xml:space="preserve"> </w:t>
      </w:r>
      <w:r w:rsidRPr="006A373D">
        <w:t>por</w:t>
      </w:r>
      <w:r>
        <w:t xml:space="preserve"> </w:t>
      </w:r>
      <w:r w:rsidRPr="006A373D">
        <w:t>enfermedades</w:t>
      </w:r>
      <w:r>
        <w:t xml:space="preserve"> </w:t>
      </w:r>
      <w:r w:rsidRPr="006A373D">
        <w:t>del</w:t>
      </w:r>
      <w:r>
        <w:t xml:space="preserve"> </w:t>
      </w:r>
      <w:r w:rsidRPr="006A373D">
        <w:t>área</w:t>
      </w:r>
      <w:r>
        <w:t xml:space="preserve"> </w:t>
      </w:r>
      <w:r w:rsidRPr="006A373D">
        <w:t>del</w:t>
      </w:r>
      <w:r>
        <w:t xml:space="preserve"> </w:t>
      </w:r>
      <w:r w:rsidRPr="006A373D">
        <w:t>corazón</w:t>
      </w:r>
      <w:r>
        <w:t xml:space="preserve"> </w:t>
      </w:r>
      <w:r w:rsidRPr="006A373D">
        <w:t>en</w:t>
      </w:r>
      <w:r>
        <w:t xml:space="preserve"> </w:t>
      </w:r>
      <w:r w:rsidRPr="006A373D">
        <w:t>los</w:t>
      </w:r>
      <w:r>
        <w:t xml:space="preserve"> </w:t>
      </w:r>
      <w:r w:rsidRPr="006A373D">
        <w:t>hospitales</w:t>
      </w:r>
      <w:r>
        <w:t xml:space="preserve"> </w:t>
      </w:r>
      <w:r w:rsidRPr="006A373D">
        <w:t>del</w:t>
      </w:r>
      <w:r>
        <w:t xml:space="preserve"> </w:t>
      </w:r>
      <w:r w:rsidRPr="006A373D">
        <w:t>Sistema</w:t>
      </w:r>
      <w:r>
        <w:t xml:space="preserve"> </w:t>
      </w:r>
      <w:r w:rsidRPr="006A373D">
        <w:t>Nacional</w:t>
      </w:r>
      <w:r>
        <w:t xml:space="preserve"> </w:t>
      </w:r>
      <w:r w:rsidRPr="006A373D">
        <w:t>de</w:t>
      </w:r>
      <w:r>
        <w:t xml:space="preserve"> </w:t>
      </w:r>
      <w:r w:rsidRPr="006A373D">
        <w:t>Salud</w:t>
      </w:r>
      <w:r>
        <w:t xml:space="preserve"> </w:t>
      </w:r>
      <w:r w:rsidRPr="006A373D">
        <w:t>2003-2012</w:t>
      </w: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0"/>
        <w:gridCol w:w="1032"/>
        <w:gridCol w:w="992"/>
        <w:gridCol w:w="1999"/>
      </w:tblGrid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/>
                <w:color w:val="000000"/>
                <w:sz w:val="20"/>
                <w:szCs w:val="20"/>
              </w:rPr>
              <w:t>Diagnósticos principales de alta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ind w:right="-51"/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/>
                <w:color w:val="000000"/>
                <w:sz w:val="20"/>
                <w:szCs w:val="20"/>
              </w:rPr>
              <w:t>% sobre el total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/>
                <w:color w:val="000000"/>
                <w:sz w:val="20"/>
                <w:szCs w:val="20"/>
              </w:rPr>
              <w:t>Códigos CIE-9-MC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Fiebre reumática aguda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1.056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390-392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Enfermedad cardiaca reumática crónica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70.641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393-398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Enfermedad hipertensiva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225.934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401-405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Infarto agudo de miocardio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522.549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410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Otras enfermedades isquémicas del corazón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593.411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411,412-414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Angina de pecho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108.174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413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Enfermedades de la circulación pulmonar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136.260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415-417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Trastornos de conducción y </w:t>
            </w:r>
            <w:proofErr w:type="spellStart"/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disrritmias</w:t>
            </w:r>
            <w:proofErr w:type="spellEnd"/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cardiacas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568.777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426-227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Insuficiencia cardiaca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847.537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428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Otras enfermedades cardiacas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230.664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Resto de 420-429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Aneurisma de la aorta ascendente o torácica, embolismo aórtico torácico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11.946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Cs/>
                <w:color w:val="000000"/>
                <w:sz w:val="20"/>
                <w:szCs w:val="20"/>
              </w:rPr>
              <w:t>441.01 441.1 441.2 444.1</w:t>
            </w:r>
          </w:p>
        </w:tc>
      </w:tr>
      <w:tr w:rsidR="00FF4127" w:rsidRPr="008B0EA4" w:rsidTr="0031262C">
        <w:trPr>
          <w:trHeight w:val="300"/>
          <w:jc w:val="center"/>
        </w:trPr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3.316.949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4127" w:rsidRPr="008B0EA4" w:rsidRDefault="00FF4127" w:rsidP="0031262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8B0EA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F4127" w:rsidRPr="006A373D" w:rsidRDefault="00FF4127" w:rsidP="00FF4127">
      <w:pPr>
        <w:jc w:val="both"/>
        <w:rPr>
          <w:b/>
        </w:rPr>
      </w:pPr>
      <w:r w:rsidRPr="006A373D">
        <w:rPr>
          <w:b/>
        </w:rPr>
        <w:br w:type="page"/>
      </w:r>
    </w:p>
    <w:p w:rsidR="00FF4127" w:rsidRPr="008B0EA4" w:rsidRDefault="00FF4127" w:rsidP="00FF4127">
      <w:pPr>
        <w:jc w:val="both"/>
        <w:rPr>
          <w:b/>
          <w:color w:val="943634" w:themeColor="accent2" w:themeShade="BF"/>
        </w:rPr>
      </w:pPr>
      <w:r w:rsidRPr="008B0EA4">
        <w:rPr>
          <w:b/>
          <w:color w:val="943634" w:themeColor="accent2" w:themeShade="BF"/>
        </w:rPr>
        <w:lastRenderedPageBreak/>
        <w:t>Tabla 2</w:t>
      </w:r>
    </w:p>
    <w:p w:rsidR="00FF4127" w:rsidRPr="006A373D" w:rsidRDefault="00FF4127" w:rsidP="00FF4127">
      <w:pPr>
        <w:jc w:val="both"/>
      </w:pPr>
      <w:r w:rsidRPr="006A373D">
        <w:t>Descripción</w:t>
      </w:r>
      <w:r>
        <w:t xml:space="preserve"> </w:t>
      </w:r>
      <w:r w:rsidRPr="006A373D">
        <w:t>de</w:t>
      </w:r>
      <w:r>
        <w:t xml:space="preserve"> </w:t>
      </w:r>
      <w:r w:rsidRPr="006A373D">
        <w:t>las</w:t>
      </w:r>
      <w:r>
        <w:t xml:space="preserve"> </w:t>
      </w:r>
      <w:r w:rsidRPr="006A373D">
        <w:t>variables</w:t>
      </w:r>
      <w:r>
        <w:t xml:space="preserve"> </w:t>
      </w:r>
      <w:r w:rsidRPr="006A373D">
        <w:t>(CIES,</w:t>
      </w:r>
      <w:r>
        <w:t xml:space="preserve"> </w:t>
      </w:r>
      <w:r w:rsidRPr="006A373D">
        <w:t>1999)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726"/>
        <w:gridCol w:w="2103"/>
        <w:gridCol w:w="1273"/>
      </w:tblGrid>
      <w:tr w:rsidR="00FF4127" w:rsidRPr="008B0EA4" w:rsidTr="0031262C">
        <w:trPr>
          <w:tblHeader/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/>
                <w:color w:val="000000"/>
                <w:sz w:val="16"/>
                <w:szCs w:val="16"/>
              </w:rPr>
              <w:t>Códigos CIE-9-CM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/>
                <w:color w:val="000000"/>
                <w:sz w:val="16"/>
                <w:szCs w:val="16"/>
              </w:rPr>
              <w:t>Prevalencia (%)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Mortalidad intrahospitalaria (observada)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Variable dependiente.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1 =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fallecimiento</w:t>
            </w: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durante el episodio de hospitalización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0 = alta con motivo diferente de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fallecimiento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Cuantitativa discreta (años).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34 &lt; edad &lt; 95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Sexo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Cualitativa nominal dicotómica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1 = mujer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0 = 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varón</w:t>
            </w: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(categoría de referencia).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28,6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i/>
                <w:color w:val="000000"/>
                <w:sz w:val="16"/>
                <w:szCs w:val="16"/>
              </w:rPr>
            </w:pPr>
            <w:r w:rsidRPr="0031111A">
              <w:rPr>
                <w:rFonts w:eastAsia="Times New Roman"/>
                <w:bCs/>
                <w:i/>
                <w:color w:val="000000"/>
                <w:sz w:val="16"/>
                <w:szCs w:val="16"/>
              </w:rPr>
              <w:t>Shock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Cualitativas nominales dicotómicas (*).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1= Código de diagnóstico secundario presente en el registro del CMBD-H.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0 = Código de diagnóstico secundario ausente en el registro del CMBD-H.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785.5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6,2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Diabetes con complicaciones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250.1 - 250.9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Insuficiencia cardiaca congestiva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428.x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18,0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Tumor maligno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140.0 - 208.9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2,2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Enfermedad cerebrovascular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430.0 - 438.x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4,0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Edema de pulmón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518.4, 514.x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0,8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Insuficiencia renal aguda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584.x, 586.x, 788.5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5,5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Insuficiencia renal crónica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585.x, 403.x, 404.x, 996.7,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394.2, 399.4, v451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7,7</w:t>
            </w:r>
          </w:p>
        </w:tc>
      </w:tr>
      <w:tr w:rsidR="00FF4127" w:rsidRPr="008B0EA4" w:rsidTr="0031262C">
        <w:trPr>
          <w:jc w:val="center"/>
        </w:trPr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Arritmia</w:t>
            </w:r>
          </w:p>
        </w:tc>
        <w:tc>
          <w:tcPr>
            <w:tcW w:w="37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427.0 - 427.9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19,7</w:t>
            </w:r>
          </w:p>
        </w:tc>
      </w:tr>
      <w:tr w:rsidR="00FF4127" w:rsidRPr="008B0EA4" w:rsidTr="0031262C">
        <w:trPr>
          <w:jc w:val="center"/>
        </w:trPr>
        <w:tc>
          <w:tcPr>
            <w:tcW w:w="9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 w:rsidRPr="008B0EA4">
              <w:rPr>
                <w:rFonts w:eastAsia="Times New Roman"/>
                <w:bCs/>
                <w:color w:val="000000"/>
                <w:sz w:val="16"/>
                <w:szCs w:val="16"/>
              </w:rPr>
              <w:t>En todos los casos el test χ2 muestra que existe asociación entre la mortalidad observada y las variables dependientes (p = 0,001).</w:t>
            </w:r>
          </w:p>
          <w:p w:rsidR="00FF4127" w:rsidRPr="008B0EA4" w:rsidRDefault="00FF4127" w:rsidP="0031262C">
            <w:pPr>
              <w:jc w:val="both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FF4127" w:rsidRPr="006A373D" w:rsidRDefault="00FF4127" w:rsidP="00FF4127">
      <w:pPr>
        <w:jc w:val="both"/>
        <w:rPr>
          <w:b/>
        </w:rPr>
      </w:pPr>
    </w:p>
    <w:p w:rsidR="00FF4127" w:rsidRPr="0031111A" w:rsidRDefault="00FF4127" w:rsidP="00FF4127">
      <w:pPr>
        <w:jc w:val="both"/>
        <w:rPr>
          <w:b/>
          <w:color w:val="943634" w:themeColor="accent2" w:themeShade="BF"/>
        </w:rPr>
      </w:pPr>
      <w:r w:rsidRPr="006A373D">
        <w:rPr>
          <w:b/>
        </w:rPr>
        <w:br w:type="page"/>
      </w:r>
      <w:r w:rsidRPr="0031111A">
        <w:rPr>
          <w:b/>
          <w:color w:val="943634" w:themeColor="accent2" w:themeShade="BF"/>
        </w:rPr>
        <w:lastRenderedPageBreak/>
        <w:t>Tabla 3</w:t>
      </w:r>
    </w:p>
    <w:p w:rsidR="00FF4127" w:rsidRPr="006A373D" w:rsidRDefault="00FF4127" w:rsidP="00FF4127">
      <w:pPr>
        <w:jc w:val="both"/>
      </w:pPr>
      <w:r w:rsidRPr="006A373D">
        <w:t>Ajuste</w:t>
      </w:r>
      <w:r>
        <w:t xml:space="preserve"> </w:t>
      </w:r>
      <w:r w:rsidRPr="006A373D">
        <w:t>del</w:t>
      </w:r>
      <w:r>
        <w:t xml:space="preserve"> </w:t>
      </w:r>
      <w:r w:rsidRPr="006A373D">
        <w:t>modelo</w:t>
      </w:r>
      <w:r>
        <w:t xml:space="preserve"> </w:t>
      </w:r>
      <w:r w:rsidRPr="006A373D">
        <w:t>de</w:t>
      </w:r>
      <w:r>
        <w:t xml:space="preserve"> </w:t>
      </w:r>
      <w:r w:rsidRPr="006A373D">
        <w:t>regresión</w:t>
      </w:r>
      <w:r>
        <w:t xml:space="preserve"> </w:t>
      </w:r>
      <w:r w:rsidRPr="006A373D">
        <w:t>logística</w:t>
      </w:r>
      <w:r>
        <w:t xml:space="preserve"> </w:t>
      </w:r>
      <w:r w:rsidRPr="006A373D">
        <w:t>para</w:t>
      </w:r>
      <w:r>
        <w:t xml:space="preserve"> </w:t>
      </w:r>
      <w:r w:rsidRPr="006A373D">
        <w:t>la</w:t>
      </w:r>
      <w:r>
        <w:t xml:space="preserve"> </w:t>
      </w:r>
      <w:r w:rsidRPr="006A373D">
        <w:t>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por</w:t>
      </w:r>
      <w:r>
        <w:t xml:space="preserve"> </w:t>
      </w:r>
      <w:r w:rsidRPr="006A373D">
        <w:t>infarto</w:t>
      </w:r>
      <w:r>
        <w:t xml:space="preserve"> </w:t>
      </w:r>
      <w:r w:rsidRPr="006A373D">
        <w:t>agudo</w:t>
      </w:r>
      <w:r>
        <w:t xml:space="preserve"> </w:t>
      </w:r>
      <w:r w:rsidRPr="006A373D">
        <w:t>de</w:t>
      </w:r>
      <w:r>
        <w:t xml:space="preserve"> </w:t>
      </w:r>
      <w:r w:rsidRPr="006A373D">
        <w:t>miocardio</w:t>
      </w:r>
      <w:r>
        <w:t xml:space="preserve"> </w:t>
      </w:r>
      <w:r w:rsidRPr="006A373D">
        <w:t>2003-2012</w:t>
      </w:r>
      <w:r>
        <w:t xml:space="preserve"> </w:t>
      </w:r>
      <w:r w:rsidRPr="006A373D">
        <w:t>(CIES,</w:t>
      </w:r>
      <w:r>
        <w:t xml:space="preserve"> </w:t>
      </w:r>
      <w:r w:rsidRPr="006A373D">
        <w:t>1999)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098"/>
        <w:gridCol w:w="992"/>
        <w:gridCol w:w="993"/>
        <w:gridCol w:w="992"/>
      </w:tblGrid>
      <w:tr w:rsidR="00FF4127" w:rsidRPr="006A373D" w:rsidTr="0031262C">
        <w:trPr>
          <w:trHeight w:val="300"/>
          <w:tblHeader/>
          <w:jc w:val="center"/>
        </w:trPr>
        <w:tc>
          <w:tcPr>
            <w:tcW w:w="3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IC</w:t>
            </w:r>
            <w:r>
              <w:rPr>
                <w:rFonts w:eastAsia="Times New Roman"/>
                <w:b/>
                <w:color w:val="000000"/>
              </w:rPr>
              <w:t xml:space="preserve"> OR 95%</w:t>
            </w:r>
          </w:p>
        </w:tc>
      </w:tr>
      <w:tr w:rsidR="00FF4127" w:rsidRPr="006A373D" w:rsidTr="0031262C">
        <w:trPr>
          <w:trHeight w:val="300"/>
          <w:tblHeader/>
          <w:jc w:val="center"/>
        </w:trPr>
        <w:tc>
          <w:tcPr>
            <w:tcW w:w="3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INF.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SUP.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Edad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1,069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Sexo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1,184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31111A">
              <w:rPr>
                <w:rFonts w:eastAsia="Times New Roman"/>
                <w:bCs/>
                <w:i/>
                <w:color w:val="000000"/>
              </w:rPr>
              <w:t>Shock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2,716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2,811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Diabetes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complicaciones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1,373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1,313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1,437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Insuficiencia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cardiaca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congestiva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1,667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1,755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Tumor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maligno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1,955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1,844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2,072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Enfermedad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cerebrovascular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2,302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2,209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2,400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Edema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pulmón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2,739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2,997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Insuficiencia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renal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aguda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2,368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1,282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2,457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Arritmia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1,671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1,758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31111A">
              <w:rPr>
                <w:rFonts w:eastAsia="Times New Roman"/>
                <w:bCs/>
                <w:color w:val="000000"/>
              </w:rPr>
              <w:t xml:space="preserve">La variable </w:t>
            </w:r>
            <w:r>
              <w:rPr>
                <w:rFonts w:eastAsia="Times New Roman"/>
                <w:bCs/>
                <w:color w:val="000000"/>
              </w:rPr>
              <w:t>i</w:t>
            </w:r>
            <w:r w:rsidRPr="0031111A">
              <w:rPr>
                <w:rFonts w:eastAsia="Times New Roman"/>
                <w:bCs/>
                <w:color w:val="000000"/>
              </w:rPr>
              <w:t>nsuficiencia renal crónica resulta no significativa.</w:t>
            </w:r>
          </w:p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color w:val="000000"/>
                <w:lang w:val="en-US"/>
              </w:rPr>
            </w:pPr>
            <w:proofErr w:type="spellStart"/>
            <w:r w:rsidRPr="0031111A">
              <w:rPr>
                <w:rFonts w:eastAsia="Times New Roman"/>
                <w:bCs/>
                <w:color w:val="000000"/>
                <w:lang w:val="en-US"/>
              </w:rPr>
              <w:t>Seudo</w:t>
            </w:r>
            <w:proofErr w:type="spellEnd"/>
            <w:r w:rsidRPr="0031111A">
              <w:rPr>
                <w:rFonts w:eastAsia="Times New Roman"/>
                <w:bCs/>
                <w:color w:val="000000"/>
                <w:lang w:val="en-US"/>
              </w:rPr>
              <w:t xml:space="preserve"> R</w:t>
            </w:r>
            <w:r w:rsidRPr="0031111A">
              <w:rPr>
                <w:rFonts w:eastAsia="Times New Roman"/>
                <w:bCs/>
                <w:color w:val="000000"/>
                <w:vertAlign w:val="superscript"/>
                <w:lang w:val="en-US"/>
              </w:rPr>
              <w:t>2</w:t>
            </w:r>
            <w:r w:rsidRPr="0031111A">
              <w:rPr>
                <w:rFonts w:eastAsia="Times New Roman"/>
                <w:bCs/>
                <w:color w:val="000000"/>
                <w:lang w:val="en-US"/>
              </w:rPr>
              <w:t xml:space="preserve"> = 0,2943.</w:t>
            </w:r>
          </w:p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color w:val="000000"/>
                <w:lang w:val="en-US"/>
              </w:rPr>
            </w:pPr>
            <w:r w:rsidRPr="0031111A">
              <w:rPr>
                <w:rFonts w:eastAsia="Times New Roman"/>
                <w:bCs/>
                <w:color w:val="000000"/>
              </w:rPr>
              <w:t>χ</w:t>
            </w:r>
            <w:r w:rsidRPr="0031111A">
              <w:rPr>
                <w:rFonts w:eastAsia="Times New Roman"/>
                <w:bCs/>
                <w:color w:val="000000"/>
                <w:lang w:val="en-US"/>
              </w:rPr>
              <w:t>2 Hosmer-</w:t>
            </w:r>
            <w:proofErr w:type="spellStart"/>
            <w:r w:rsidRPr="0031111A">
              <w:rPr>
                <w:rFonts w:eastAsia="Times New Roman"/>
                <w:bCs/>
                <w:color w:val="000000"/>
                <w:lang w:val="en-US"/>
              </w:rPr>
              <w:t>Lemeshow</w:t>
            </w:r>
            <w:proofErr w:type="spellEnd"/>
            <w:r w:rsidRPr="0031111A">
              <w:rPr>
                <w:rFonts w:eastAsia="Times New Roman"/>
                <w:bCs/>
                <w:color w:val="000000"/>
                <w:lang w:val="en-US"/>
              </w:rPr>
              <w:t xml:space="preserve">: 102,45; </w:t>
            </w:r>
            <w:proofErr w:type="spellStart"/>
            <w:r w:rsidRPr="0031111A">
              <w:rPr>
                <w:rFonts w:eastAsia="Times New Roman"/>
                <w:bCs/>
                <w:color w:val="000000"/>
                <w:lang w:val="en-US"/>
              </w:rPr>
              <w:t>g.l</w:t>
            </w:r>
            <w:proofErr w:type="spellEnd"/>
            <w:r w:rsidRPr="0031111A">
              <w:rPr>
                <w:rFonts w:eastAsia="Times New Roman"/>
                <w:bCs/>
                <w:color w:val="000000"/>
                <w:lang w:val="en-US"/>
              </w:rPr>
              <w:t xml:space="preserve">: 8, p = 0,001. </w:t>
            </w:r>
          </w:p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AROC: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0,863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IC95%: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(0,862</w:t>
            </w:r>
            <w:r>
              <w:rPr>
                <w:rFonts w:eastAsia="Times New Roman"/>
                <w:bCs/>
                <w:color w:val="000000"/>
              </w:rPr>
              <w:t>-</w:t>
            </w:r>
            <w:r w:rsidRPr="006A373D">
              <w:rPr>
                <w:rFonts w:eastAsia="Times New Roman"/>
                <w:bCs/>
                <w:color w:val="000000"/>
              </w:rPr>
              <w:t>0,865),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p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  <w:p w:rsidR="00FF4127" w:rsidRPr="006A373D" w:rsidRDefault="00FF4127" w:rsidP="0031262C">
            <w:pPr>
              <w:ind w:right="567"/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AROC: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área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bajo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curva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ROC;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</w:t>
            </w:r>
            <w:r>
              <w:rPr>
                <w:rFonts w:eastAsia="Times New Roman"/>
                <w:bCs/>
                <w:color w:val="000000"/>
              </w:rPr>
              <w:t xml:space="preserve"> OR 95%</w:t>
            </w:r>
            <w:r w:rsidRPr="006A373D">
              <w:rPr>
                <w:rFonts w:eastAsia="Times New Roman"/>
                <w:bCs/>
                <w:color w:val="000000"/>
              </w:rPr>
              <w:t>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intervalo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confianza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los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6A373D">
              <w:rPr>
                <w:rFonts w:eastAsia="Times New Roman"/>
                <w:bCs/>
                <w:color w:val="000000"/>
              </w:rPr>
              <w:t>odds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ratio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al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95%; INF:</w:t>
            </w:r>
            <w:r>
              <w:rPr>
                <w:rFonts w:eastAsia="Times New Roman"/>
                <w:bCs/>
                <w:color w:val="000000"/>
              </w:rPr>
              <w:t xml:space="preserve"> l</w:t>
            </w:r>
            <w:r w:rsidRPr="006A373D">
              <w:rPr>
                <w:rFonts w:eastAsia="Times New Roman"/>
                <w:bCs/>
                <w:color w:val="000000"/>
              </w:rPr>
              <w:t>ímite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inferior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OR: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31111A">
              <w:rPr>
                <w:rFonts w:eastAsia="Times New Roman"/>
                <w:bCs/>
                <w:i/>
                <w:color w:val="000000"/>
              </w:rPr>
              <w:t>odds</w:t>
            </w:r>
            <w:proofErr w:type="spellEnd"/>
            <w:r w:rsidRPr="0031111A">
              <w:rPr>
                <w:rFonts w:eastAsia="Times New Roman"/>
                <w:bCs/>
                <w:i/>
                <w:color w:val="000000"/>
              </w:rPr>
              <w:t xml:space="preserve"> ratio</w:t>
            </w:r>
            <w:r w:rsidRPr="006A373D">
              <w:rPr>
                <w:rFonts w:eastAsia="Times New Roman"/>
                <w:bCs/>
                <w:color w:val="000000"/>
              </w:rPr>
              <w:t>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SUP: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límite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superior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IC.</w:t>
            </w:r>
          </w:p>
        </w:tc>
      </w:tr>
    </w:tbl>
    <w:p w:rsidR="00FF4127" w:rsidRPr="006A373D" w:rsidRDefault="00FF4127" w:rsidP="00FF4127">
      <w:pPr>
        <w:tabs>
          <w:tab w:val="left" w:pos="1321"/>
        </w:tabs>
        <w:jc w:val="both"/>
        <w:rPr>
          <w:b/>
        </w:rPr>
      </w:pPr>
    </w:p>
    <w:p w:rsidR="00FF4127" w:rsidRPr="006956D6" w:rsidRDefault="00FF4127" w:rsidP="00FF4127">
      <w:pPr>
        <w:jc w:val="both"/>
        <w:rPr>
          <w:b/>
          <w:color w:val="943634" w:themeColor="accent2" w:themeShade="BF"/>
        </w:rPr>
      </w:pPr>
      <w:r w:rsidRPr="006A373D">
        <w:rPr>
          <w:b/>
        </w:rPr>
        <w:br w:type="page"/>
      </w:r>
      <w:r w:rsidRPr="006956D6">
        <w:rPr>
          <w:b/>
          <w:color w:val="943634" w:themeColor="accent2" w:themeShade="BF"/>
        </w:rPr>
        <w:lastRenderedPageBreak/>
        <w:t>Tabla 4</w:t>
      </w:r>
    </w:p>
    <w:p w:rsidR="00FF4127" w:rsidRPr="006A373D" w:rsidRDefault="00FF4127" w:rsidP="00FF4127">
      <w:pPr>
        <w:jc w:val="both"/>
        <w:rPr>
          <w:b/>
        </w:rPr>
      </w:pPr>
      <w:r w:rsidRPr="006A373D">
        <w:t>Ajuste</w:t>
      </w:r>
      <w:r>
        <w:t xml:space="preserve"> </w:t>
      </w:r>
      <w:r w:rsidRPr="006A373D">
        <w:t>del</w:t>
      </w:r>
      <w:r>
        <w:t xml:space="preserve"> </w:t>
      </w:r>
      <w:r w:rsidRPr="006A373D">
        <w:t>modelo</w:t>
      </w:r>
      <w:r>
        <w:t xml:space="preserve"> </w:t>
      </w:r>
      <w:r w:rsidRPr="006A373D">
        <w:t>de</w:t>
      </w:r>
      <w:r>
        <w:t xml:space="preserve"> </w:t>
      </w:r>
      <w:r w:rsidRPr="006A373D">
        <w:t>regresión</w:t>
      </w:r>
      <w:r>
        <w:t xml:space="preserve"> </w:t>
      </w:r>
      <w:r w:rsidRPr="006A373D">
        <w:t>logística</w:t>
      </w:r>
      <w:r>
        <w:t xml:space="preserve"> </w:t>
      </w:r>
      <w:r w:rsidRPr="006A373D">
        <w:t>multinivel</w:t>
      </w:r>
      <w:r>
        <w:t xml:space="preserve"> </w:t>
      </w:r>
      <w:r w:rsidRPr="006A373D">
        <w:t>para</w:t>
      </w:r>
      <w:r>
        <w:t xml:space="preserve"> </w:t>
      </w:r>
      <w:r w:rsidRPr="006A373D">
        <w:t>la</w:t>
      </w:r>
      <w:r>
        <w:t xml:space="preserve"> </w:t>
      </w:r>
      <w:r w:rsidRPr="006A373D">
        <w:t>mortalidad</w:t>
      </w:r>
      <w:r>
        <w:t xml:space="preserve"> </w:t>
      </w:r>
      <w:r w:rsidRPr="006A373D">
        <w:t>intrahospitalaria</w:t>
      </w:r>
      <w:r>
        <w:t xml:space="preserve"> </w:t>
      </w:r>
      <w:r w:rsidRPr="006A373D">
        <w:t>por</w:t>
      </w:r>
      <w:r>
        <w:t xml:space="preserve"> </w:t>
      </w:r>
      <w:r w:rsidRPr="006A373D">
        <w:t>infarto</w:t>
      </w:r>
      <w:r>
        <w:t xml:space="preserve"> </w:t>
      </w:r>
      <w:r w:rsidRPr="006A373D">
        <w:t>agudo</w:t>
      </w:r>
      <w:r>
        <w:t xml:space="preserve"> </w:t>
      </w:r>
      <w:r w:rsidRPr="006A373D">
        <w:t>de</w:t>
      </w:r>
      <w:r>
        <w:t xml:space="preserve"> </w:t>
      </w:r>
      <w:r w:rsidRPr="006A373D">
        <w:t>miocardio</w:t>
      </w:r>
      <w:r>
        <w:t xml:space="preserve"> </w:t>
      </w:r>
      <w:r w:rsidRPr="006A373D">
        <w:t>2003-2012</w:t>
      </w:r>
      <w:r>
        <w:t xml:space="preserve"> </w:t>
      </w:r>
      <w:r w:rsidRPr="006A373D">
        <w:t>(variables</w:t>
      </w:r>
      <w:r>
        <w:t xml:space="preserve"> </w:t>
      </w:r>
      <w:r w:rsidRPr="006A373D">
        <w:t>CIES,</w:t>
      </w:r>
      <w:r>
        <w:t xml:space="preserve"> </w:t>
      </w:r>
      <w:r w:rsidRPr="006A373D">
        <w:t>1999)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098"/>
        <w:gridCol w:w="992"/>
        <w:gridCol w:w="993"/>
        <w:gridCol w:w="992"/>
      </w:tblGrid>
      <w:tr w:rsidR="00FF4127" w:rsidRPr="006A373D" w:rsidTr="0031262C">
        <w:trPr>
          <w:trHeight w:val="300"/>
          <w:tblHeader/>
          <w:jc w:val="center"/>
        </w:trPr>
        <w:tc>
          <w:tcPr>
            <w:tcW w:w="3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p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IC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6A373D">
              <w:rPr>
                <w:rFonts w:eastAsia="Times New Roman"/>
                <w:b/>
                <w:color w:val="000000"/>
              </w:rPr>
              <w:t>0R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6A373D">
              <w:rPr>
                <w:rFonts w:eastAsia="Times New Roman"/>
                <w:b/>
                <w:color w:val="000000"/>
              </w:rPr>
              <w:t>(95%)</w:t>
            </w:r>
          </w:p>
        </w:tc>
      </w:tr>
      <w:tr w:rsidR="00FF4127" w:rsidRPr="006A373D" w:rsidTr="0031262C">
        <w:trPr>
          <w:trHeight w:val="300"/>
          <w:tblHeader/>
          <w:jc w:val="center"/>
        </w:trPr>
        <w:tc>
          <w:tcPr>
            <w:tcW w:w="3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INF.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127" w:rsidRPr="006A373D" w:rsidRDefault="00FF4127" w:rsidP="0031262C">
            <w:pPr>
              <w:jc w:val="both"/>
              <w:rPr>
                <w:rFonts w:eastAsia="Times New Roman"/>
                <w:b/>
                <w:color w:val="000000"/>
              </w:rPr>
            </w:pPr>
            <w:r w:rsidRPr="006A373D">
              <w:rPr>
                <w:rFonts w:eastAsia="Times New Roman"/>
                <w:b/>
                <w:color w:val="000000"/>
              </w:rPr>
              <w:t>SUP.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Edad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1,070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Sexo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1,176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31111A" w:rsidRDefault="00FF4127" w:rsidP="0031262C">
            <w:pPr>
              <w:jc w:val="both"/>
              <w:rPr>
                <w:rFonts w:eastAsia="Times New Roman"/>
                <w:bCs/>
                <w:i/>
                <w:color w:val="000000"/>
              </w:rPr>
            </w:pPr>
            <w:r w:rsidRPr="0031111A">
              <w:rPr>
                <w:rFonts w:eastAsia="Times New Roman"/>
                <w:bCs/>
                <w:i/>
                <w:color w:val="000000"/>
              </w:rPr>
              <w:t>Shock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28,080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27,172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29,019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Diabetes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complicaciones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1,359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1,483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Insuficiencia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cardiaca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congestiva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1,799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Tumor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maligno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1,970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1,863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2,083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Enfermedad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cerebrovascular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2,326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2,420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Edema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pulmón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2,652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2,716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Insuficiencia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renal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aguda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2,471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2,388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2,558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Arritmia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&lt;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1,789</w:t>
            </w:r>
          </w:p>
        </w:tc>
      </w:tr>
      <w:tr w:rsidR="00FF4127" w:rsidRPr="006A373D" w:rsidTr="0031262C">
        <w:trPr>
          <w:trHeight w:val="227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La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variable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Insuficiencia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renal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crónica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resulta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no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significativa.</w:t>
            </w:r>
          </w:p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VAR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0,103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ICH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0,032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1,3691</w:t>
            </w:r>
          </w:p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AROC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mortalidad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prevista: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0,868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IC</w:t>
            </w:r>
            <w:r>
              <w:rPr>
                <w:rFonts w:eastAsia="Times New Roman"/>
                <w:bCs/>
                <w:color w:val="000000"/>
              </w:rPr>
              <w:t xml:space="preserve">95% </w:t>
            </w:r>
            <w:r w:rsidRPr="006A373D">
              <w:rPr>
                <w:rFonts w:eastAsia="Times New Roman"/>
                <w:bCs/>
                <w:color w:val="000000"/>
              </w:rPr>
              <w:t>(0,866</w:t>
            </w:r>
            <w:r>
              <w:rPr>
                <w:rFonts w:eastAsia="Times New Roman"/>
                <w:bCs/>
                <w:color w:val="000000"/>
              </w:rPr>
              <w:t xml:space="preserve">-0,870); </w:t>
            </w:r>
            <w:r w:rsidRPr="006A373D">
              <w:rPr>
                <w:rFonts w:eastAsia="Times New Roman"/>
                <w:bCs/>
                <w:color w:val="000000"/>
              </w:rPr>
              <w:t>p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AROC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mortalidad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esperada: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0,865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IC</w:t>
            </w:r>
            <w:r>
              <w:rPr>
                <w:rFonts w:eastAsia="Times New Roman"/>
                <w:bCs/>
                <w:color w:val="000000"/>
              </w:rPr>
              <w:t xml:space="preserve">95% </w:t>
            </w:r>
            <w:r w:rsidRPr="006A373D">
              <w:rPr>
                <w:rFonts w:eastAsia="Times New Roman"/>
                <w:bCs/>
                <w:color w:val="000000"/>
              </w:rPr>
              <w:t>(0,864</w:t>
            </w:r>
            <w:r>
              <w:rPr>
                <w:rFonts w:eastAsia="Times New Roman"/>
                <w:bCs/>
                <w:color w:val="000000"/>
              </w:rPr>
              <w:t>-</w:t>
            </w:r>
            <w:r w:rsidRPr="006A373D">
              <w:rPr>
                <w:rFonts w:eastAsia="Times New Roman"/>
                <w:bCs/>
                <w:color w:val="000000"/>
              </w:rPr>
              <w:t>0,867)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p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=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0,001</w:t>
            </w:r>
          </w:p>
          <w:p w:rsidR="00FF4127" w:rsidRPr="006A373D" w:rsidRDefault="00FF4127" w:rsidP="0031262C">
            <w:pPr>
              <w:jc w:val="both"/>
              <w:rPr>
                <w:rFonts w:eastAsia="Times New Roman"/>
                <w:bCs/>
                <w:color w:val="000000"/>
              </w:rPr>
            </w:pPr>
            <w:r w:rsidRPr="006A373D">
              <w:rPr>
                <w:rFonts w:eastAsia="Times New Roman"/>
                <w:bCs/>
                <w:color w:val="000000"/>
              </w:rPr>
              <w:t>ICH:</w:t>
            </w:r>
            <w:r>
              <w:rPr>
                <w:rFonts w:eastAsia="Times New Roman"/>
                <w:bCs/>
                <w:color w:val="000000"/>
              </w:rPr>
              <w:t xml:space="preserve"> c</w:t>
            </w:r>
            <w:r w:rsidRPr="006A373D">
              <w:rPr>
                <w:rFonts w:eastAsia="Times New Roman"/>
                <w:bCs/>
                <w:color w:val="000000"/>
              </w:rPr>
              <w:t>oeficiente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correlación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“</w:t>
            </w:r>
            <w:proofErr w:type="spellStart"/>
            <w:r w:rsidRPr="006A373D">
              <w:rPr>
                <w:rFonts w:eastAsia="Times New Roman"/>
                <w:bCs/>
                <w:color w:val="000000"/>
              </w:rPr>
              <w:t>intrahospitales</w:t>
            </w:r>
            <w:proofErr w:type="spellEnd"/>
            <w:r w:rsidRPr="006A373D">
              <w:rPr>
                <w:rFonts w:eastAsia="Times New Roman"/>
                <w:bCs/>
                <w:color w:val="000000"/>
              </w:rPr>
              <w:t>”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956D6">
              <w:rPr>
                <w:rFonts w:eastAsia="Times New Roman"/>
                <w:bCs/>
                <w:color w:val="000000"/>
              </w:rPr>
              <w:t>IC 0R (95%)</w:t>
            </w:r>
            <w:r>
              <w:rPr>
                <w:rFonts w:eastAsia="Times New Roman"/>
                <w:bCs/>
                <w:color w:val="000000"/>
              </w:rPr>
              <w:t>, i</w:t>
            </w:r>
            <w:r w:rsidRPr="006A373D">
              <w:rPr>
                <w:rFonts w:eastAsia="Times New Roman"/>
                <w:bCs/>
                <w:color w:val="000000"/>
              </w:rPr>
              <w:t>ntervalo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confianza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los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6956D6">
              <w:rPr>
                <w:rFonts w:eastAsia="Times New Roman"/>
                <w:bCs/>
                <w:i/>
                <w:color w:val="000000"/>
              </w:rPr>
              <w:t>odds</w:t>
            </w:r>
            <w:proofErr w:type="spellEnd"/>
            <w:r w:rsidRPr="006956D6">
              <w:rPr>
                <w:rFonts w:eastAsia="Times New Roman"/>
                <w:bCs/>
                <w:i/>
                <w:color w:val="000000"/>
              </w:rPr>
              <w:t xml:space="preserve"> ratio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al</w:t>
            </w:r>
            <w:r>
              <w:rPr>
                <w:rFonts w:eastAsia="Times New Roman"/>
                <w:bCs/>
                <w:color w:val="000000"/>
              </w:rPr>
              <w:t xml:space="preserve"> 95%; </w:t>
            </w:r>
            <w:r w:rsidRPr="006A373D">
              <w:rPr>
                <w:rFonts w:eastAsia="Times New Roman"/>
                <w:bCs/>
                <w:color w:val="000000"/>
              </w:rPr>
              <w:t>INF:</w:t>
            </w:r>
            <w:r>
              <w:rPr>
                <w:rFonts w:eastAsia="Times New Roman"/>
                <w:bCs/>
                <w:color w:val="000000"/>
              </w:rPr>
              <w:t xml:space="preserve"> l</w:t>
            </w:r>
            <w:r w:rsidRPr="006A373D">
              <w:rPr>
                <w:rFonts w:eastAsia="Times New Roman"/>
                <w:bCs/>
                <w:color w:val="000000"/>
              </w:rPr>
              <w:t>ímite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inferior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</w:t>
            </w:r>
            <w:r>
              <w:rPr>
                <w:rFonts w:eastAsia="Times New Roman"/>
                <w:bCs/>
                <w:color w:val="000000"/>
              </w:rPr>
              <w:t xml:space="preserve">; </w:t>
            </w:r>
            <w:r w:rsidRPr="006A373D">
              <w:rPr>
                <w:rFonts w:eastAsia="Times New Roman"/>
                <w:bCs/>
                <w:color w:val="000000"/>
              </w:rPr>
              <w:t>SUP: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límite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superior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IC;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MOR: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C01C38">
              <w:rPr>
                <w:rFonts w:eastAsia="Times New Roman"/>
                <w:bCs/>
                <w:i/>
                <w:color w:val="000000"/>
              </w:rPr>
              <w:t>odds</w:t>
            </w:r>
            <w:proofErr w:type="spellEnd"/>
            <w:r w:rsidRPr="00C01C38">
              <w:rPr>
                <w:rFonts w:eastAsia="Times New Roman"/>
                <w:bCs/>
                <w:i/>
                <w:color w:val="000000"/>
              </w:rPr>
              <w:t xml:space="preserve"> ratio</w:t>
            </w:r>
            <w:r>
              <w:rPr>
                <w:rFonts w:eastAsia="Times New Roman"/>
                <w:bCs/>
                <w:color w:val="000000"/>
              </w:rPr>
              <w:t xml:space="preserve"> mediana; </w:t>
            </w:r>
            <w:r w:rsidRPr="006A373D">
              <w:rPr>
                <w:rFonts w:eastAsia="Times New Roman"/>
                <w:bCs/>
                <w:color w:val="000000"/>
              </w:rPr>
              <w:t>OR: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6956D6">
              <w:rPr>
                <w:rFonts w:eastAsia="Times New Roman"/>
                <w:bCs/>
                <w:i/>
                <w:color w:val="000000"/>
              </w:rPr>
              <w:t>odds</w:t>
            </w:r>
            <w:proofErr w:type="spellEnd"/>
            <w:r w:rsidRPr="006956D6">
              <w:rPr>
                <w:rFonts w:eastAsia="Times New Roman"/>
                <w:bCs/>
                <w:i/>
                <w:color w:val="000000"/>
              </w:rPr>
              <w:t xml:space="preserve"> ratio</w:t>
            </w:r>
            <w:r>
              <w:rPr>
                <w:rFonts w:eastAsia="Times New Roman"/>
                <w:bCs/>
                <w:color w:val="000000"/>
              </w:rPr>
              <w:t>;</w:t>
            </w:r>
            <w:r w:rsidRPr="006A373D">
              <w:rPr>
                <w:rFonts w:eastAsia="Times New Roman"/>
                <w:bCs/>
                <w:color w:val="000000"/>
              </w:rPr>
              <w:t xml:space="preserve"> VAR:</w:t>
            </w:r>
            <w:r>
              <w:rPr>
                <w:rFonts w:eastAsia="Times New Roman"/>
                <w:bCs/>
                <w:color w:val="000000"/>
              </w:rPr>
              <w:t xml:space="preserve"> v</w:t>
            </w:r>
            <w:r w:rsidRPr="006A373D">
              <w:rPr>
                <w:rFonts w:eastAsia="Times New Roman"/>
                <w:bCs/>
                <w:color w:val="000000"/>
              </w:rPr>
              <w:t>arianza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de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la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ordenada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en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origen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–</w:t>
            </w:r>
            <w:proofErr w:type="spellStart"/>
            <w:r w:rsidRPr="006A373D">
              <w:rPr>
                <w:rFonts w:eastAsia="Times New Roman"/>
                <w:bCs/>
                <w:color w:val="000000"/>
              </w:rPr>
              <w:t>Intercept</w:t>
            </w:r>
            <w:proofErr w:type="spellEnd"/>
            <w:r w:rsidRPr="006A373D">
              <w:rPr>
                <w:rFonts w:eastAsia="Times New Roman"/>
                <w:bCs/>
                <w:color w:val="000000"/>
              </w:rPr>
              <w:t>-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correspondiente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al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nivel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6A373D">
              <w:rPr>
                <w:rFonts w:eastAsia="Times New Roman"/>
                <w:bCs/>
                <w:color w:val="000000"/>
              </w:rPr>
              <w:t>“hospital”</w:t>
            </w:r>
            <w:r>
              <w:rPr>
                <w:rFonts w:eastAsia="Times New Roman"/>
                <w:bCs/>
                <w:color w:val="000000"/>
              </w:rPr>
              <w:t>.</w:t>
            </w:r>
          </w:p>
          <w:p w:rsidR="00FF4127" w:rsidRPr="006A373D" w:rsidRDefault="00FF4127" w:rsidP="0031262C">
            <w:pPr>
              <w:ind w:right="567"/>
              <w:jc w:val="both"/>
              <w:rPr>
                <w:rFonts w:eastAsia="Times New Roman"/>
                <w:bCs/>
                <w:color w:val="000000"/>
              </w:rPr>
            </w:pPr>
          </w:p>
        </w:tc>
      </w:tr>
    </w:tbl>
    <w:p w:rsidR="00FF4127" w:rsidRDefault="00FF4127" w:rsidP="00FF4127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FF4127" w:rsidRPr="006A373D" w:rsidRDefault="00FF4127" w:rsidP="00FF4127">
      <w:pPr>
        <w:pStyle w:val="Sinespaciado"/>
      </w:pPr>
      <w:r w:rsidRPr="006A373D">
        <w:lastRenderedPageBreak/>
        <w:t>BIBLIOGRAFÍA</w:t>
      </w:r>
    </w:p>
    <w:p w:rsidR="00FF4127" w:rsidRDefault="00FF4127" w:rsidP="00FF4127">
      <w:pPr>
        <w:pStyle w:val="Textonotaalfinal"/>
        <w:jc w:val="both"/>
        <w:rPr>
          <w:sz w:val="22"/>
          <w:szCs w:val="22"/>
          <w:lang w:val="it-IT"/>
        </w:rPr>
      </w:pPr>
      <w:r w:rsidRPr="00FF4127">
        <w:rPr>
          <w:sz w:val="22"/>
          <w:szCs w:val="22"/>
          <w:lang w:val="it-IT"/>
        </w:rPr>
        <w:t xml:space="preserve">1. Ministerio de Sanidad y Consumo . Metodología de análisis de la hospitalización en el Sistema Nacional de Salud. Modelo de indicadores basado en el Registro de Altas (CMBD) Madrid: Agencia de Calidad del Sistema Nacional de Salud; 2007.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. Disponible en: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it-IT"/>
        </w:rPr>
      </w:pPr>
      <w:bookmarkStart w:id="1" w:name="_GoBack"/>
      <w:bookmarkEnd w:id="1"/>
      <w:r w:rsidRPr="00FF4127">
        <w:rPr>
          <w:rStyle w:val="Refdenotaalfinal"/>
          <w:sz w:val="22"/>
          <w:szCs w:val="22"/>
          <w:vertAlign w:val="baseline"/>
          <w:lang w:val="it-IT"/>
        </w:rPr>
        <w:t xml:space="preserve"> </w:t>
      </w:r>
      <w:r w:rsidRPr="00FF4127">
        <w:fldChar w:fldCharType="begin"/>
      </w:r>
      <w:r w:rsidRPr="00FF4127">
        <w:rPr>
          <w:lang w:val="it-IT"/>
        </w:rPr>
        <w:instrText xml:space="preserve"> HYPERLINK "http://www.msssi.gob.es/estadEstudios/estadisticas/docs/metod_modelo_cmbd_pub.pdf" </w:instrText>
      </w:r>
      <w:r w:rsidRPr="00FF4127">
        <w:fldChar w:fldCharType="separate"/>
      </w:r>
      <w:r w:rsidRPr="00FF4127">
        <w:rPr>
          <w:rStyle w:val="Hipervnculo"/>
          <w:sz w:val="22"/>
          <w:szCs w:val="22"/>
          <w:lang w:val="it-IT"/>
        </w:rPr>
        <w:t>http://www.msssi.gob.es/estadEstudios/estadisticas/docs/metod_modelo_cmbd_pub.pdf</w:t>
      </w:r>
      <w:r w:rsidRPr="00FF4127">
        <w:rPr>
          <w:rStyle w:val="Hipervnculo"/>
          <w:sz w:val="22"/>
          <w:szCs w:val="22"/>
          <w:lang w:val="it-IT"/>
        </w:rPr>
        <w:fldChar w:fldCharType="end"/>
      </w:r>
      <w:r w:rsidRPr="00FF4127">
        <w:rPr>
          <w:sz w:val="22"/>
          <w:szCs w:val="22"/>
          <w:lang w:val="it-IT"/>
        </w:rPr>
        <w:t xml:space="preserve">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it-IT"/>
        </w:rPr>
      </w:pPr>
      <w:r w:rsidRPr="00FF4127">
        <w:rPr>
          <w:sz w:val="22"/>
          <w:szCs w:val="22"/>
          <w:lang w:val="it-IT"/>
        </w:rPr>
        <w:t xml:space="preserve">2. </w:t>
      </w:r>
      <w:r w:rsidRPr="00FF4127">
        <w:rPr>
          <w:sz w:val="22"/>
          <w:szCs w:val="22"/>
        </w:rPr>
        <w:t xml:space="preserve">Palanca I, Castro A, </w:t>
      </w:r>
      <w:proofErr w:type="spellStart"/>
      <w:r w:rsidRPr="00FF4127">
        <w:rPr>
          <w:sz w:val="22"/>
          <w:szCs w:val="22"/>
        </w:rPr>
        <w:t>Macaya</w:t>
      </w:r>
      <w:proofErr w:type="spellEnd"/>
      <w:r w:rsidRPr="00FF4127">
        <w:rPr>
          <w:sz w:val="22"/>
          <w:szCs w:val="22"/>
        </w:rPr>
        <w:t xml:space="preserve"> C, </w:t>
      </w:r>
      <w:proofErr w:type="spellStart"/>
      <w:r w:rsidRPr="00FF4127">
        <w:rPr>
          <w:sz w:val="22"/>
          <w:szCs w:val="22"/>
        </w:rPr>
        <w:t>Elola</w:t>
      </w:r>
      <w:proofErr w:type="spellEnd"/>
      <w:r w:rsidRPr="00FF4127">
        <w:rPr>
          <w:sz w:val="22"/>
          <w:szCs w:val="22"/>
        </w:rPr>
        <w:t xml:space="preserve"> FJ, Bernal JL, Paniagua JL. Grupo de Expertos. Unidades asistenciales del área del corazón. Estándares y recomendaciones. Agencia de Calidad del SNS. Madrid, MSPS 2011.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 xml:space="preserve">. </w:t>
      </w:r>
      <w:r w:rsidRPr="00FF4127">
        <w:rPr>
          <w:sz w:val="22"/>
          <w:szCs w:val="22"/>
          <w:lang w:val="it-IT"/>
        </w:rPr>
        <w:t xml:space="preserve">Disponible en: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it-IT"/>
        </w:rPr>
      </w:pPr>
      <w:hyperlink r:id="rId8" w:history="1">
        <w:r w:rsidRPr="00FF4127">
          <w:rPr>
            <w:rStyle w:val="Hipervnculo"/>
            <w:sz w:val="22"/>
            <w:szCs w:val="22"/>
            <w:lang w:val="it-IT"/>
          </w:rPr>
          <w:t>http://www.msssi.gob.es/organizacion/sns/planCalidadSNS/docs/EERR/EyR_UAC.pdf</w:t>
        </w:r>
      </w:hyperlink>
      <w:r w:rsidRPr="00FF4127">
        <w:rPr>
          <w:sz w:val="22"/>
          <w:szCs w:val="22"/>
          <w:lang w:val="it-IT"/>
        </w:rPr>
        <w:t xml:space="preserve">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  <w:lang w:val="it-IT"/>
        </w:rPr>
        <w:t xml:space="preserve">3.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Codificación Clínica con la CIE-9-MC</w:t>
      </w:r>
      <w:r w:rsidRPr="00FF4127">
        <w:rPr>
          <w:sz w:val="22"/>
          <w:szCs w:val="22"/>
          <w:lang w:val="it-IT"/>
        </w:rPr>
        <w:t xml:space="preserve">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Unidad Técnica</w:t>
      </w:r>
      <w:r w:rsidRPr="00FF4127">
        <w:rPr>
          <w:sz w:val="22"/>
          <w:szCs w:val="22"/>
          <w:lang w:val="it-IT"/>
        </w:rPr>
        <w:t xml:space="preserve">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de la CIE-9-MC para</w:t>
      </w:r>
      <w:r w:rsidRPr="00FF4127">
        <w:rPr>
          <w:sz w:val="22"/>
          <w:szCs w:val="22"/>
          <w:lang w:val="it-IT"/>
        </w:rPr>
        <w:t xml:space="preserve">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el Sistema Nacional de Salud</w:t>
      </w:r>
      <w:r w:rsidRPr="00FF4127">
        <w:rPr>
          <w:sz w:val="22"/>
          <w:szCs w:val="22"/>
          <w:lang w:val="it-IT"/>
        </w:rPr>
        <w:t xml:space="preserve">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Actualización de la</w:t>
      </w:r>
      <w:r w:rsidRPr="00FF4127">
        <w:rPr>
          <w:sz w:val="22"/>
          <w:szCs w:val="22"/>
          <w:lang w:val="it-IT"/>
        </w:rPr>
        <w:t xml:space="preserve">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CIE-9-MC 2008</w:t>
      </w:r>
      <w:r w:rsidRPr="00FF4127">
        <w:rPr>
          <w:sz w:val="22"/>
          <w:szCs w:val="22"/>
          <w:lang w:val="it-IT"/>
        </w:rPr>
        <w:t xml:space="preserve">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Comentarios y Normativa de Codificación.</w:t>
      </w:r>
      <w:r w:rsidRPr="00FF4127">
        <w:rPr>
          <w:sz w:val="22"/>
          <w:szCs w:val="22"/>
          <w:lang w:val="it-IT"/>
        </w:rPr>
        <w:t xml:space="preserve"> </w:t>
      </w:r>
      <w:r w:rsidRPr="00FF4127">
        <w:rPr>
          <w:sz w:val="22"/>
          <w:szCs w:val="22"/>
        </w:rPr>
        <w:t xml:space="preserve">Boletín nº 28. </w:t>
      </w:r>
      <w:proofErr w:type="gramStart"/>
      <w:r w:rsidRPr="00FF4127">
        <w:rPr>
          <w:sz w:val="22"/>
          <w:szCs w:val="22"/>
        </w:rPr>
        <w:t>Febrero</w:t>
      </w:r>
      <w:proofErr w:type="gramEnd"/>
      <w:r w:rsidRPr="00FF4127">
        <w:rPr>
          <w:sz w:val="22"/>
          <w:szCs w:val="22"/>
        </w:rPr>
        <w:t xml:space="preserve"> 2008.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 xml:space="preserve">. </w:t>
      </w:r>
      <w:r w:rsidRPr="00FF4127">
        <w:rPr>
          <w:sz w:val="22"/>
          <w:szCs w:val="22"/>
        </w:rPr>
        <w:t xml:space="preserve">Disponible en: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hyperlink r:id="rId9" w:history="1">
        <w:r w:rsidRPr="00FF4127">
          <w:rPr>
            <w:rStyle w:val="Hipervnculo"/>
            <w:sz w:val="22"/>
            <w:szCs w:val="22"/>
          </w:rPr>
          <w:t>http://www.msc.es/estadEstudios/estadisticas/normalizacion/clasifEnferm/boletines/Codificacion_clinica_n28_08.pdf</w:t>
        </w:r>
      </w:hyperlink>
      <w:r w:rsidRPr="00FF4127">
        <w:rPr>
          <w:sz w:val="22"/>
          <w:szCs w:val="22"/>
        </w:rPr>
        <w:t xml:space="preserve">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</w:rPr>
        <w:t xml:space="preserve">4. </w:t>
      </w:r>
      <w:r w:rsidRPr="00FF4127">
        <w:rPr>
          <w:rStyle w:val="Refdenotaalfinal"/>
          <w:sz w:val="22"/>
          <w:szCs w:val="22"/>
          <w:vertAlign w:val="baseline"/>
        </w:rPr>
        <w:t>Codificación Clínica con la CIE-9-MC. Unidad Técnica de la CIE-9-MC para el Sistema Nacional de Salud. Cardiología, Hipertensión Arterial y Enfermedad Cerebrovascular</w:t>
      </w:r>
      <w:r w:rsidRPr="00FF4127">
        <w:rPr>
          <w:sz w:val="22"/>
          <w:szCs w:val="22"/>
        </w:rPr>
        <w:t xml:space="preserve">. Ministerio de Sanidad y Política Social. Boletín nº 30. </w:t>
      </w:r>
      <w:proofErr w:type="gramStart"/>
      <w:r w:rsidRPr="00FF4127">
        <w:rPr>
          <w:sz w:val="22"/>
          <w:szCs w:val="22"/>
        </w:rPr>
        <w:t>Octubre</w:t>
      </w:r>
      <w:proofErr w:type="gramEnd"/>
      <w:r w:rsidRPr="00FF4127">
        <w:rPr>
          <w:sz w:val="22"/>
          <w:szCs w:val="22"/>
        </w:rPr>
        <w:t xml:space="preserve"> 2008.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 xml:space="preserve">. </w:t>
      </w:r>
      <w:r w:rsidRPr="00FF4127">
        <w:rPr>
          <w:sz w:val="22"/>
          <w:szCs w:val="22"/>
        </w:rPr>
        <w:t xml:space="preserve">Disponible en: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hyperlink r:id="rId10" w:history="1">
        <w:r w:rsidRPr="00FF4127">
          <w:rPr>
            <w:rStyle w:val="Hipervnculo"/>
            <w:sz w:val="22"/>
            <w:szCs w:val="22"/>
          </w:rPr>
          <w:t>http://www.msc.es/estadEstudios/estadisticas/normalizacion/clasifEnferm/boletines/Codificacion_clinica_n30_08.pdf</w:t>
        </w:r>
      </w:hyperlink>
      <w:r w:rsidRPr="00FF4127">
        <w:rPr>
          <w:sz w:val="22"/>
          <w:szCs w:val="22"/>
        </w:rPr>
        <w:t xml:space="preserve"> 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</w:rPr>
        <w:t xml:space="preserve">5. </w:t>
      </w:r>
      <w:proofErr w:type="spellStart"/>
      <w:r w:rsidRPr="00FF4127">
        <w:rPr>
          <w:sz w:val="22"/>
          <w:szCs w:val="22"/>
        </w:rPr>
        <w:t>Bertomeu</w:t>
      </w:r>
      <w:proofErr w:type="spellEnd"/>
      <w:r w:rsidRPr="00FF4127">
        <w:rPr>
          <w:sz w:val="22"/>
          <w:szCs w:val="22"/>
        </w:rPr>
        <w:t xml:space="preserve"> V, </w:t>
      </w:r>
      <w:proofErr w:type="spellStart"/>
      <w:r w:rsidRPr="00FF4127">
        <w:rPr>
          <w:sz w:val="22"/>
          <w:szCs w:val="22"/>
        </w:rPr>
        <w:t>Cequier</w:t>
      </w:r>
      <w:proofErr w:type="spellEnd"/>
      <w:r w:rsidRPr="00FF4127">
        <w:rPr>
          <w:sz w:val="22"/>
          <w:szCs w:val="22"/>
        </w:rPr>
        <w:t xml:space="preserve"> Á, Bernal JL, Alfonso F, Anguita MP, Muñiz J, et al. Mortalidad intrahospitalaria por infarto agudo de miocardio. Relevancia del tipo de hospital y la atención dispensada3. Estudio RECALCAR. </w:t>
      </w:r>
      <w:proofErr w:type="spellStart"/>
      <w:r w:rsidRPr="00FF4127">
        <w:rPr>
          <w:sz w:val="22"/>
          <w:szCs w:val="22"/>
        </w:rPr>
        <w:t>Rev</w:t>
      </w:r>
      <w:proofErr w:type="spellEnd"/>
      <w:r w:rsidRPr="00FF4127">
        <w:rPr>
          <w:sz w:val="22"/>
          <w:szCs w:val="22"/>
        </w:rPr>
        <w:t xml:space="preserve"> </w:t>
      </w:r>
      <w:proofErr w:type="spellStart"/>
      <w:r w:rsidRPr="00FF4127">
        <w:rPr>
          <w:sz w:val="22"/>
          <w:szCs w:val="22"/>
        </w:rPr>
        <w:t>Esp</w:t>
      </w:r>
      <w:proofErr w:type="spellEnd"/>
      <w:r w:rsidRPr="00FF4127">
        <w:rPr>
          <w:sz w:val="22"/>
          <w:szCs w:val="22"/>
        </w:rPr>
        <w:t xml:space="preserve"> </w:t>
      </w:r>
      <w:proofErr w:type="spellStart"/>
      <w:r w:rsidRPr="00FF4127">
        <w:rPr>
          <w:sz w:val="22"/>
          <w:szCs w:val="22"/>
        </w:rPr>
        <w:t>Cardiol</w:t>
      </w:r>
      <w:proofErr w:type="spellEnd"/>
      <w:r w:rsidRPr="00FF4127">
        <w:rPr>
          <w:sz w:val="22"/>
          <w:szCs w:val="22"/>
        </w:rPr>
        <w:t xml:space="preserve">. </w:t>
      </w:r>
      <w:proofErr w:type="gramStart"/>
      <w:r w:rsidRPr="00FF4127">
        <w:rPr>
          <w:sz w:val="22"/>
          <w:szCs w:val="22"/>
        </w:rPr>
        <w:t>2013;66:935</w:t>
      </w:r>
      <w:proofErr w:type="gramEnd"/>
      <w:r w:rsidRPr="00FF4127">
        <w:rPr>
          <w:sz w:val="22"/>
          <w:szCs w:val="22"/>
        </w:rPr>
        <w:t>-42.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  <w:lang w:val="en-US"/>
        </w:rPr>
        <w:t xml:space="preserve">6. Institute for Clinical Evaluative Sciences. Cardiovascular health services in Ontario. </w:t>
      </w:r>
      <w:proofErr w:type="spellStart"/>
      <w:r w:rsidRPr="00FF4127">
        <w:rPr>
          <w:sz w:val="22"/>
          <w:szCs w:val="22"/>
        </w:rPr>
        <w:t>An</w:t>
      </w:r>
      <w:proofErr w:type="spellEnd"/>
      <w:r w:rsidRPr="00FF4127">
        <w:rPr>
          <w:sz w:val="22"/>
          <w:szCs w:val="22"/>
        </w:rPr>
        <w:t xml:space="preserve"> ICES Atlas. Ontario: ICES, 1999.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 xml:space="preserve">. </w:t>
      </w:r>
      <w:r w:rsidRPr="00FF4127">
        <w:rPr>
          <w:sz w:val="22"/>
          <w:szCs w:val="22"/>
        </w:rPr>
        <w:t>Disponible en: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hyperlink r:id="rId11" w:history="1">
        <w:r w:rsidRPr="00FF4127">
          <w:rPr>
            <w:sz w:val="22"/>
            <w:szCs w:val="22"/>
          </w:rPr>
          <w:t>http://www.ices.on.ca/webpage.cfm?site_id=1&amp;org_id=67&amp;morg_id=0&amp;gsec_id=0&amp;item_id=1390&amp;type=atlas</w:t>
        </w:r>
      </w:hyperlink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  <w:lang w:val="en-US"/>
        </w:rPr>
        <w:t xml:space="preserve">7. </w:t>
      </w:r>
      <w:proofErr w:type="spellStart"/>
      <w:r w:rsidRPr="00FF4127">
        <w:rPr>
          <w:sz w:val="22"/>
          <w:szCs w:val="22"/>
          <w:lang w:val="en-US"/>
        </w:rPr>
        <w:t>Krumholz</w:t>
      </w:r>
      <w:proofErr w:type="spellEnd"/>
      <w:r w:rsidRPr="00FF4127">
        <w:rPr>
          <w:sz w:val="22"/>
          <w:szCs w:val="22"/>
          <w:lang w:val="en-US"/>
        </w:rPr>
        <w:t xml:space="preserve"> HM, Normand SLT, </w:t>
      </w:r>
      <w:proofErr w:type="spellStart"/>
      <w:r w:rsidRPr="00FF4127">
        <w:rPr>
          <w:sz w:val="22"/>
          <w:szCs w:val="22"/>
          <w:lang w:val="en-US"/>
        </w:rPr>
        <w:t>Galusha</w:t>
      </w:r>
      <w:proofErr w:type="spellEnd"/>
      <w:r w:rsidRPr="00FF4127">
        <w:rPr>
          <w:sz w:val="22"/>
          <w:szCs w:val="22"/>
          <w:lang w:val="en-US"/>
        </w:rPr>
        <w:t xml:space="preserve"> DH. Risk Adjustment Models for AMI and HF: 30 Day Mortality: Report prepared for the Centers for Medicare &amp; Medicaid Services. 2005. Mortality Measures section.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.</w:t>
      </w:r>
      <w:r w:rsidRPr="00FF4127">
        <w:rPr>
          <w:sz w:val="22"/>
          <w:szCs w:val="22"/>
        </w:rPr>
        <w:t xml:space="preserve"> Disponible en: </w:t>
      </w:r>
      <w:hyperlink r:id="rId12" w:history="1">
        <w:r w:rsidRPr="00FF4127">
          <w:rPr>
            <w:sz w:val="22"/>
            <w:szCs w:val="22"/>
          </w:rPr>
          <w:t>http://www.qualitynet.org</w:t>
        </w:r>
      </w:hyperlink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en-US"/>
        </w:rPr>
      </w:pPr>
      <w:r w:rsidRPr="00FF4127">
        <w:rPr>
          <w:sz w:val="22"/>
          <w:szCs w:val="22"/>
        </w:rPr>
        <w:lastRenderedPageBreak/>
        <w:t xml:space="preserve">8. </w:t>
      </w:r>
      <w:proofErr w:type="spellStart"/>
      <w:r w:rsidRPr="00FF4127">
        <w:rPr>
          <w:sz w:val="22"/>
          <w:szCs w:val="22"/>
        </w:rPr>
        <w:t>Krumholz</w:t>
      </w:r>
      <w:proofErr w:type="spellEnd"/>
      <w:r w:rsidRPr="00FF4127">
        <w:rPr>
          <w:sz w:val="22"/>
          <w:szCs w:val="22"/>
        </w:rPr>
        <w:t xml:space="preserve"> HM, Wang Y, </w:t>
      </w:r>
      <w:proofErr w:type="spellStart"/>
      <w:r w:rsidRPr="00FF4127">
        <w:rPr>
          <w:sz w:val="22"/>
          <w:szCs w:val="22"/>
        </w:rPr>
        <w:t>Mattera</w:t>
      </w:r>
      <w:proofErr w:type="spellEnd"/>
      <w:r w:rsidRPr="00FF4127">
        <w:rPr>
          <w:sz w:val="22"/>
          <w:szCs w:val="22"/>
        </w:rPr>
        <w:t xml:space="preserve"> JA, Wang Y, Han LF, </w:t>
      </w:r>
      <w:proofErr w:type="spellStart"/>
      <w:r w:rsidRPr="00FF4127">
        <w:rPr>
          <w:sz w:val="22"/>
          <w:szCs w:val="22"/>
        </w:rPr>
        <w:t>Ingber</w:t>
      </w:r>
      <w:proofErr w:type="spellEnd"/>
      <w:r w:rsidRPr="00FF4127">
        <w:rPr>
          <w:sz w:val="22"/>
          <w:szCs w:val="22"/>
        </w:rPr>
        <w:t xml:space="preserve"> MJ, et al. </w:t>
      </w:r>
      <w:r w:rsidRPr="00FF4127">
        <w:rPr>
          <w:sz w:val="22"/>
          <w:szCs w:val="22"/>
          <w:lang w:val="en-US"/>
        </w:rPr>
        <w:t xml:space="preserve">An administrative claims model suitable for profiling hospital performance based on 30-day mortality rates among patients with an acute myocardial infarction. Circulation. </w:t>
      </w:r>
      <w:proofErr w:type="gramStart"/>
      <w:r w:rsidRPr="00FF4127">
        <w:rPr>
          <w:sz w:val="22"/>
          <w:szCs w:val="22"/>
          <w:lang w:val="en-US"/>
        </w:rPr>
        <w:t>2006;113:1683</w:t>
      </w:r>
      <w:proofErr w:type="gramEnd"/>
      <w:r w:rsidRPr="00FF4127">
        <w:rPr>
          <w:sz w:val="22"/>
          <w:szCs w:val="22"/>
          <w:lang w:val="en-US"/>
        </w:rPr>
        <w:t>-92.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en-US"/>
        </w:rPr>
      </w:pPr>
      <w:r w:rsidRPr="00FF4127">
        <w:rPr>
          <w:sz w:val="22"/>
          <w:szCs w:val="22"/>
          <w:lang w:val="en-US"/>
        </w:rPr>
        <w:t xml:space="preserve">9. </w:t>
      </w:r>
      <w:proofErr w:type="spellStart"/>
      <w:r w:rsidRPr="00FF4127">
        <w:rPr>
          <w:sz w:val="22"/>
          <w:szCs w:val="22"/>
          <w:lang w:val="en-US"/>
        </w:rPr>
        <w:t>Bernheim</w:t>
      </w:r>
      <w:proofErr w:type="spellEnd"/>
      <w:r w:rsidRPr="00FF4127">
        <w:rPr>
          <w:sz w:val="22"/>
          <w:szCs w:val="22"/>
          <w:lang w:val="en-US"/>
        </w:rPr>
        <w:t xml:space="preserve"> SB, Li Z, Grad JN. 2011 Measures Maintenance Technical Report: Acute Myocardial Infarction, Heart Failure, and Pneumonia 30 Day Risk Standardized Readmission Measures: Report prepared for the Centers for Medicare &amp; Medicaid Services. 2011. The Mortality Measures section.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[citado 4 J</w:t>
      </w:r>
      <w:r w:rsidRPr="00FF4127">
        <w:rPr>
          <w:sz w:val="22"/>
          <w:szCs w:val="22"/>
          <w:lang w:val="it-IT"/>
        </w:rPr>
        <w:t xml:space="preserve">un 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201</w:t>
      </w:r>
      <w:r w:rsidRPr="00FF4127">
        <w:rPr>
          <w:sz w:val="22"/>
          <w:szCs w:val="22"/>
          <w:lang w:val="it-IT"/>
        </w:rPr>
        <w:t>6]</w:t>
      </w:r>
      <w:r w:rsidRPr="00FF4127">
        <w:rPr>
          <w:rStyle w:val="Refdenotaalfinal"/>
          <w:sz w:val="22"/>
          <w:szCs w:val="22"/>
          <w:vertAlign w:val="baseline"/>
          <w:lang w:val="it-IT"/>
        </w:rPr>
        <w:t>.</w:t>
      </w:r>
      <w:r w:rsidRPr="00FF4127">
        <w:rPr>
          <w:sz w:val="22"/>
          <w:szCs w:val="22"/>
          <w:lang w:val="en-US"/>
        </w:rPr>
        <w:t xml:space="preserve"> </w:t>
      </w:r>
      <w:proofErr w:type="spellStart"/>
      <w:r w:rsidRPr="00FF4127">
        <w:rPr>
          <w:sz w:val="22"/>
          <w:szCs w:val="22"/>
          <w:lang w:val="en-US"/>
        </w:rPr>
        <w:t>Disponible</w:t>
      </w:r>
      <w:proofErr w:type="spellEnd"/>
      <w:r w:rsidRPr="00FF4127">
        <w:rPr>
          <w:sz w:val="22"/>
          <w:szCs w:val="22"/>
          <w:lang w:val="en-US"/>
        </w:rPr>
        <w:t xml:space="preserve"> </w:t>
      </w:r>
      <w:proofErr w:type="spellStart"/>
      <w:r w:rsidRPr="00FF4127">
        <w:rPr>
          <w:sz w:val="22"/>
          <w:szCs w:val="22"/>
          <w:lang w:val="en-US"/>
        </w:rPr>
        <w:t>en</w:t>
      </w:r>
      <w:proofErr w:type="spellEnd"/>
      <w:r w:rsidRPr="00FF4127">
        <w:rPr>
          <w:sz w:val="22"/>
          <w:szCs w:val="22"/>
          <w:lang w:val="en-US"/>
        </w:rPr>
        <w:t xml:space="preserve">: </w:t>
      </w:r>
      <w:hyperlink r:id="rId13" w:history="1">
        <w:r w:rsidRPr="00FF4127">
          <w:rPr>
            <w:sz w:val="22"/>
            <w:szCs w:val="22"/>
            <w:lang w:val="en-US"/>
          </w:rPr>
          <w:t>http://www.qualitynet.org</w:t>
        </w:r>
      </w:hyperlink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  <w:lang w:val="en-US"/>
        </w:rPr>
      </w:pPr>
      <w:r w:rsidRPr="00FF4127">
        <w:rPr>
          <w:sz w:val="22"/>
          <w:szCs w:val="22"/>
          <w:lang w:val="en-US"/>
        </w:rPr>
        <w:t xml:space="preserve">10. </w:t>
      </w:r>
      <w:proofErr w:type="spellStart"/>
      <w:r w:rsidRPr="00FF4127">
        <w:rPr>
          <w:sz w:val="22"/>
          <w:szCs w:val="22"/>
          <w:lang w:val="en-US"/>
        </w:rPr>
        <w:t>Shahian</w:t>
      </w:r>
      <w:proofErr w:type="spellEnd"/>
      <w:r w:rsidRPr="00FF4127">
        <w:rPr>
          <w:sz w:val="22"/>
          <w:szCs w:val="22"/>
          <w:lang w:val="en-US"/>
        </w:rPr>
        <w:t xml:space="preserve"> DM, </w:t>
      </w:r>
      <w:proofErr w:type="spellStart"/>
      <w:r w:rsidRPr="00FF4127">
        <w:rPr>
          <w:sz w:val="22"/>
          <w:szCs w:val="22"/>
          <w:lang w:val="en-US"/>
        </w:rPr>
        <w:t>Torchiana</w:t>
      </w:r>
      <w:proofErr w:type="spellEnd"/>
      <w:r w:rsidRPr="00FF4127">
        <w:rPr>
          <w:sz w:val="22"/>
          <w:szCs w:val="22"/>
          <w:lang w:val="en-US"/>
        </w:rPr>
        <w:t xml:space="preserve"> DF, </w:t>
      </w:r>
      <w:proofErr w:type="spellStart"/>
      <w:r w:rsidRPr="00FF4127">
        <w:rPr>
          <w:sz w:val="22"/>
          <w:szCs w:val="22"/>
          <w:lang w:val="en-US"/>
        </w:rPr>
        <w:t>Shemin</w:t>
      </w:r>
      <w:proofErr w:type="spellEnd"/>
      <w:r w:rsidRPr="00FF4127">
        <w:rPr>
          <w:sz w:val="22"/>
          <w:szCs w:val="22"/>
          <w:lang w:val="en-US"/>
        </w:rPr>
        <w:t xml:space="preserve"> RJ, </w:t>
      </w:r>
      <w:proofErr w:type="spellStart"/>
      <w:r w:rsidRPr="00FF4127">
        <w:rPr>
          <w:sz w:val="22"/>
          <w:szCs w:val="22"/>
          <w:lang w:val="en-US"/>
        </w:rPr>
        <w:t>Rawn</w:t>
      </w:r>
      <w:proofErr w:type="spellEnd"/>
      <w:r w:rsidRPr="00FF4127">
        <w:rPr>
          <w:sz w:val="22"/>
          <w:szCs w:val="22"/>
          <w:lang w:val="en-US"/>
        </w:rPr>
        <w:t xml:space="preserve"> JD, Normand SLT. The Massachusetts cardiac surgery report card: implications of statistical methodology. Ann </w:t>
      </w:r>
      <w:proofErr w:type="spellStart"/>
      <w:r w:rsidRPr="00FF4127">
        <w:rPr>
          <w:sz w:val="22"/>
          <w:szCs w:val="22"/>
          <w:lang w:val="en-US"/>
        </w:rPr>
        <w:t>Thorac</w:t>
      </w:r>
      <w:proofErr w:type="spellEnd"/>
      <w:r w:rsidRPr="00FF4127">
        <w:rPr>
          <w:sz w:val="22"/>
          <w:szCs w:val="22"/>
          <w:lang w:val="en-US"/>
        </w:rPr>
        <w:t xml:space="preserve"> Surg. </w:t>
      </w:r>
      <w:proofErr w:type="gramStart"/>
      <w:r w:rsidRPr="00FF4127">
        <w:rPr>
          <w:sz w:val="22"/>
          <w:szCs w:val="22"/>
          <w:lang w:val="en-US"/>
        </w:rPr>
        <w:t>2005;80:2106</w:t>
      </w:r>
      <w:proofErr w:type="gramEnd"/>
      <w:r w:rsidRPr="00FF4127">
        <w:rPr>
          <w:sz w:val="22"/>
          <w:szCs w:val="22"/>
          <w:lang w:val="en-US"/>
        </w:rPr>
        <w:t>–13.</w:t>
      </w:r>
    </w:p>
    <w:p w:rsidR="00FF4127" w:rsidRPr="00FF4127" w:rsidRDefault="00FF4127" w:rsidP="00FF4127">
      <w:pPr>
        <w:pStyle w:val="Textonotaalfinal"/>
        <w:jc w:val="both"/>
        <w:rPr>
          <w:sz w:val="22"/>
          <w:szCs w:val="22"/>
        </w:rPr>
      </w:pPr>
      <w:r w:rsidRPr="00FF4127">
        <w:rPr>
          <w:sz w:val="22"/>
          <w:szCs w:val="22"/>
          <w:lang w:val="en-US"/>
        </w:rPr>
        <w:t xml:space="preserve">11. Long, JS, </w:t>
      </w:r>
      <w:proofErr w:type="spellStart"/>
      <w:r w:rsidRPr="00FF4127">
        <w:rPr>
          <w:sz w:val="22"/>
          <w:szCs w:val="22"/>
          <w:lang w:val="en-US"/>
        </w:rPr>
        <w:t>Freese</w:t>
      </w:r>
      <w:proofErr w:type="spellEnd"/>
      <w:r w:rsidRPr="00FF4127">
        <w:rPr>
          <w:sz w:val="22"/>
          <w:szCs w:val="22"/>
          <w:lang w:val="en-US"/>
        </w:rPr>
        <w:t xml:space="preserve"> J. Regression Models for Categorical Dependent Variables Using Stata, Second Edition. </w:t>
      </w:r>
      <w:r w:rsidRPr="00FF4127">
        <w:rPr>
          <w:sz w:val="22"/>
          <w:szCs w:val="22"/>
        </w:rPr>
        <w:t xml:space="preserve">2006. </w:t>
      </w:r>
      <w:proofErr w:type="spellStart"/>
      <w:r w:rsidRPr="00FF4127">
        <w:rPr>
          <w:sz w:val="22"/>
          <w:szCs w:val="22"/>
        </w:rPr>
        <w:t>College</w:t>
      </w:r>
      <w:proofErr w:type="spellEnd"/>
      <w:r w:rsidRPr="00FF4127">
        <w:rPr>
          <w:sz w:val="22"/>
          <w:szCs w:val="22"/>
        </w:rPr>
        <w:t xml:space="preserve"> </w:t>
      </w:r>
      <w:proofErr w:type="spellStart"/>
      <w:r w:rsidRPr="00FF4127">
        <w:rPr>
          <w:sz w:val="22"/>
          <w:szCs w:val="22"/>
        </w:rPr>
        <w:t>Station</w:t>
      </w:r>
      <w:proofErr w:type="spellEnd"/>
      <w:r w:rsidRPr="00FF4127">
        <w:rPr>
          <w:sz w:val="22"/>
          <w:szCs w:val="22"/>
        </w:rPr>
        <w:t xml:space="preserve">, TX: </w:t>
      </w:r>
      <w:proofErr w:type="spellStart"/>
      <w:r w:rsidRPr="00FF4127">
        <w:rPr>
          <w:sz w:val="22"/>
          <w:szCs w:val="22"/>
        </w:rPr>
        <w:t>Stata</w:t>
      </w:r>
      <w:proofErr w:type="spellEnd"/>
      <w:r w:rsidRPr="00FF4127">
        <w:rPr>
          <w:sz w:val="22"/>
          <w:szCs w:val="22"/>
        </w:rPr>
        <w:t xml:space="preserve"> </w:t>
      </w:r>
      <w:proofErr w:type="spellStart"/>
      <w:r w:rsidRPr="00FF4127">
        <w:rPr>
          <w:sz w:val="22"/>
          <w:szCs w:val="22"/>
        </w:rPr>
        <w:t>Press</w:t>
      </w:r>
      <w:proofErr w:type="spellEnd"/>
      <w:r w:rsidRPr="00FF4127">
        <w:rPr>
          <w:sz w:val="22"/>
          <w:szCs w:val="22"/>
        </w:rPr>
        <w:t>.</w:t>
      </w:r>
    </w:p>
    <w:p w:rsidR="00210787" w:rsidRPr="00FF4127" w:rsidRDefault="00210787" w:rsidP="00210787">
      <w:pPr>
        <w:spacing w:after="200" w:line="276" w:lineRule="auto"/>
        <w:rPr>
          <w:rFonts w:eastAsia="Times New Roman" w:cs="Times New Roman"/>
          <w:b/>
          <w:color w:val="943634" w:themeColor="accent2" w:themeShade="BF"/>
        </w:rPr>
      </w:pPr>
    </w:p>
    <w:sectPr w:rsidR="00210787" w:rsidRPr="00FF4127" w:rsidSect="00F002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0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74" w:rsidRDefault="00D90A74" w:rsidP="00BB7DB0">
      <w:pPr>
        <w:spacing w:line="240" w:lineRule="auto"/>
      </w:pPr>
      <w:r>
        <w:separator/>
      </w:r>
    </w:p>
  </w:endnote>
  <w:endnote w:type="continuationSeparator" w:id="0">
    <w:p w:rsidR="00D90A74" w:rsidRDefault="00D90A74" w:rsidP="00BB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Ten Roman">
    <w:altName w:val="Times Ten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MCIB I+ Times Ten LT Std">
    <w:altName w:val="Times Ten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74" w:rsidRDefault="00D90A74" w:rsidP="00BB7DB0">
      <w:pPr>
        <w:spacing w:line="240" w:lineRule="auto"/>
      </w:pPr>
      <w:r>
        <w:separator/>
      </w:r>
    </w:p>
  </w:footnote>
  <w:footnote w:type="continuationSeparator" w:id="0">
    <w:p w:rsidR="00D90A74" w:rsidRDefault="00D90A74" w:rsidP="00BB7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Pr="00CF147F" w:rsidRDefault="00CF147F" w:rsidP="00CF147F">
    <w:pPr>
      <w:pStyle w:val="Encabezado"/>
      <w:jc w:val="right"/>
      <w:rPr>
        <w:i/>
        <w:sz w:val="24"/>
        <w:szCs w:val="24"/>
      </w:rPr>
    </w:pPr>
    <w:r w:rsidRPr="00CF147F">
      <w:rPr>
        <w:i/>
        <w:sz w:val="24"/>
        <w:szCs w:val="24"/>
      </w:rPr>
      <w:t>Revista Española de Cardiología</w:t>
    </w:r>
  </w:p>
  <w:p w:rsidR="00CF147F" w:rsidRDefault="00CF14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47F" w:rsidRDefault="00CF1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425"/>
    <w:multiLevelType w:val="hybridMultilevel"/>
    <w:tmpl w:val="2EEEB5F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2806A4"/>
    <w:multiLevelType w:val="hybridMultilevel"/>
    <w:tmpl w:val="017AE40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9777B"/>
    <w:multiLevelType w:val="hybridMultilevel"/>
    <w:tmpl w:val="A18AB98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344EF"/>
    <w:multiLevelType w:val="hybridMultilevel"/>
    <w:tmpl w:val="7800F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47798"/>
    <w:multiLevelType w:val="hybridMultilevel"/>
    <w:tmpl w:val="81E6C08C"/>
    <w:lvl w:ilvl="0" w:tplc="2AE04140">
      <w:start w:val="1"/>
      <w:numFmt w:val="decimal"/>
      <w:lvlText w:val="%1"/>
      <w:lvlJc w:val="left"/>
      <w:pPr>
        <w:ind w:left="1066" w:hanging="706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CA692E"/>
    <w:multiLevelType w:val="hybridMultilevel"/>
    <w:tmpl w:val="9042C6CC"/>
    <w:lvl w:ilvl="0" w:tplc="0BC8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2F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FA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46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A0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6C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AA5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F6A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D1277D"/>
    <w:multiLevelType w:val="hybridMultilevel"/>
    <w:tmpl w:val="23C838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53E71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48B76446"/>
    <w:multiLevelType w:val="hybridMultilevel"/>
    <w:tmpl w:val="37B8FA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61F11"/>
    <w:multiLevelType w:val="hybridMultilevel"/>
    <w:tmpl w:val="FABC9C96"/>
    <w:lvl w:ilvl="0" w:tplc="D0F83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0D4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6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81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4E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64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AF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2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81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1950E0"/>
    <w:multiLevelType w:val="hybridMultilevel"/>
    <w:tmpl w:val="C04E161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8E94FA0"/>
    <w:multiLevelType w:val="hybridMultilevel"/>
    <w:tmpl w:val="04628642"/>
    <w:lvl w:ilvl="0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8E"/>
    <w:rsid w:val="000025C3"/>
    <w:rsid w:val="000029FC"/>
    <w:rsid w:val="0000722E"/>
    <w:rsid w:val="000244A9"/>
    <w:rsid w:val="0002554F"/>
    <w:rsid w:val="00035537"/>
    <w:rsid w:val="0004454D"/>
    <w:rsid w:val="00053044"/>
    <w:rsid w:val="000565E5"/>
    <w:rsid w:val="000713B2"/>
    <w:rsid w:val="00082BE9"/>
    <w:rsid w:val="0009299E"/>
    <w:rsid w:val="00093FB0"/>
    <w:rsid w:val="000A3B89"/>
    <w:rsid w:val="000D2EE6"/>
    <w:rsid w:val="000D4B9D"/>
    <w:rsid w:val="000D76AB"/>
    <w:rsid w:val="000E0DBA"/>
    <w:rsid w:val="000E65D6"/>
    <w:rsid w:val="000E6F65"/>
    <w:rsid w:val="001009E1"/>
    <w:rsid w:val="00126362"/>
    <w:rsid w:val="00131E14"/>
    <w:rsid w:val="0013371F"/>
    <w:rsid w:val="00181D12"/>
    <w:rsid w:val="00183507"/>
    <w:rsid w:val="001841D0"/>
    <w:rsid w:val="001A0359"/>
    <w:rsid w:val="001D1758"/>
    <w:rsid w:val="001F0BF5"/>
    <w:rsid w:val="001F3E1B"/>
    <w:rsid w:val="001F6360"/>
    <w:rsid w:val="00207E7D"/>
    <w:rsid w:val="00210787"/>
    <w:rsid w:val="002276CE"/>
    <w:rsid w:val="00231DCE"/>
    <w:rsid w:val="00231E59"/>
    <w:rsid w:val="002544E7"/>
    <w:rsid w:val="00262A13"/>
    <w:rsid w:val="00270460"/>
    <w:rsid w:val="00270530"/>
    <w:rsid w:val="00274D11"/>
    <w:rsid w:val="00277403"/>
    <w:rsid w:val="002875AC"/>
    <w:rsid w:val="002879F7"/>
    <w:rsid w:val="00287E35"/>
    <w:rsid w:val="002C0E1F"/>
    <w:rsid w:val="002C742A"/>
    <w:rsid w:val="002E4B7B"/>
    <w:rsid w:val="002F1CBC"/>
    <w:rsid w:val="0030190B"/>
    <w:rsid w:val="00302E0B"/>
    <w:rsid w:val="00303876"/>
    <w:rsid w:val="00320879"/>
    <w:rsid w:val="00323A9B"/>
    <w:rsid w:val="0032487C"/>
    <w:rsid w:val="00325ACE"/>
    <w:rsid w:val="00327D8D"/>
    <w:rsid w:val="0034223F"/>
    <w:rsid w:val="00375E1A"/>
    <w:rsid w:val="00383F80"/>
    <w:rsid w:val="0039344B"/>
    <w:rsid w:val="003A16DF"/>
    <w:rsid w:val="003A419B"/>
    <w:rsid w:val="003A4AF8"/>
    <w:rsid w:val="003F4E83"/>
    <w:rsid w:val="00417910"/>
    <w:rsid w:val="00421651"/>
    <w:rsid w:val="0042382B"/>
    <w:rsid w:val="004250CA"/>
    <w:rsid w:val="00430751"/>
    <w:rsid w:val="00435AE0"/>
    <w:rsid w:val="004370E4"/>
    <w:rsid w:val="0044532F"/>
    <w:rsid w:val="00452813"/>
    <w:rsid w:val="004639AB"/>
    <w:rsid w:val="00466B18"/>
    <w:rsid w:val="00477EEC"/>
    <w:rsid w:val="004B5E56"/>
    <w:rsid w:val="004C138A"/>
    <w:rsid w:val="004E1C62"/>
    <w:rsid w:val="004E45E8"/>
    <w:rsid w:val="004F0428"/>
    <w:rsid w:val="004F0858"/>
    <w:rsid w:val="004F0BA5"/>
    <w:rsid w:val="005131DA"/>
    <w:rsid w:val="00515D54"/>
    <w:rsid w:val="00522B9D"/>
    <w:rsid w:val="005255C3"/>
    <w:rsid w:val="005407B2"/>
    <w:rsid w:val="005436B2"/>
    <w:rsid w:val="005460D5"/>
    <w:rsid w:val="00567B21"/>
    <w:rsid w:val="00591C8E"/>
    <w:rsid w:val="00591F1F"/>
    <w:rsid w:val="00595AD9"/>
    <w:rsid w:val="00597A04"/>
    <w:rsid w:val="005A15D7"/>
    <w:rsid w:val="005B7799"/>
    <w:rsid w:val="005C2663"/>
    <w:rsid w:val="005D2B10"/>
    <w:rsid w:val="005D69C8"/>
    <w:rsid w:val="005F3F0B"/>
    <w:rsid w:val="006038ED"/>
    <w:rsid w:val="00606796"/>
    <w:rsid w:val="00626F80"/>
    <w:rsid w:val="006307F5"/>
    <w:rsid w:val="00642A48"/>
    <w:rsid w:val="00643CCB"/>
    <w:rsid w:val="00662EC7"/>
    <w:rsid w:val="0067244E"/>
    <w:rsid w:val="006731C5"/>
    <w:rsid w:val="00676C26"/>
    <w:rsid w:val="0068340B"/>
    <w:rsid w:val="006A517C"/>
    <w:rsid w:val="006B13F6"/>
    <w:rsid w:val="006B493D"/>
    <w:rsid w:val="006B61BC"/>
    <w:rsid w:val="006C0543"/>
    <w:rsid w:val="006C0CB2"/>
    <w:rsid w:val="006D5FCE"/>
    <w:rsid w:val="006E0FE1"/>
    <w:rsid w:val="006E44E7"/>
    <w:rsid w:val="006F192C"/>
    <w:rsid w:val="00703B48"/>
    <w:rsid w:val="0071375C"/>
    <w:rsid w:val="00721CB7"/>
    <w:rsid w:val="0072779A"/>
    <w:rsid w:val="0075163C"/>
    <w:rsid w:val="00772C39"/>
    <w:rsid w:val="00772C84"/>
    <w:rsid w:val="00791F9A"/>
    <w:rsid w:val="007A0938"/>
    <w:rsid w:val="007D01E7"/>
    <w:rsid w:val="007D07C8"/>
    <w:rsid w:val="007D633F"/>
    <w:rsid w:val="007D6C36"/>
    <w:rsid w:val="007D6EAC"/>
    <w:rsid w:val="008149C5"/>
    <w:rsid w:val="00825C29"/>
    <w:rsid w:val="00835301"/>
    <w:rsid w:val="0083624C"/>
    <w:rsid w:val="00852C79"/>
    <w:rsid w:val="008564A5"/>
    <w:rsid w:val="00860F8F"/>
    <w:rsid w:val="00862CF1"/>
    <w:rsid w:val="00871F09"/>
    <w:rsid w:val="0087622A"/>
    <w:rsid w:val="0087652A"/>
    <w:rsid w:val="008A0977"/>
    <w:rsid w:val="008A2CAA"/>
    <w:rsid w:val="008B63D0"/>
    <w:rsid w:val="008E479F"/>
    <w:rsid w:val="008E4EC3"/>
    <w:rsid w:val="008F095B"/>
    <w:rsid w:val="008F4090"/>
    <w:rsid w:val="008F417F"/>
    <w:rsid w:val="00900293"/>
    <w:rsid w:val="00907741"/>
    <w:rsid w:val="00914990"/>
    <w:rsid w:val="00921C30"/>
    <w:rsid w:val="009412EA"/>
    <w:rsid w:val="009413A7"/>
    <w:rsid w:val="00955126"/>
    <w:rsid w:val="009571EF"/>
    <w:rsid w:val="009575B8"/>
    <w:rsid w:val="00966B6F"/>
    <w:rsid w:val="00984C21"/>
    <w:rsid w:val="00985C18"/>
    <w:rsid w:val="00994B3B"/>
    <w:rsid w:val="009A2116"/>
    <w:rsid w:val="009B0682"/>
    <w:rsid w:val="009B4B0E"/>
    <w:rsid w:val="009B6D76"/>
    <w:rsid w:val="009C279B"/>
    <w:rsid w:val="009D5728"/>
    <w:rsid w:val="009F28D2"/>
    <w:rsid w:val="009F442A"/>
    <w:rsid w:val="00A11CE3"/>
    <w:rsid w:val="00A13CD5"/>
    <w:rsid w:val="00A160BD"/>
    <w:rsid w:val="00A23B28"/>
    <w:rsid w:val="00A260C5"/>
    <w:rsid w:val="00A32927"/>
    <w:rsid w:val="00A374AD"/>
    <w:rsid w:val="00A43B7A"/>
    <w:rsid w:val="00A4586D"/>
    <w:rsid w:val="00A64DB5"/>
    <w:rsid w:val="00A72282"/>
    <w:rsid w:val="00AB6DF5"/>
    <w:rsid w:val="00AD499E"/>
    <w:rsid w:val="00AF440F"/>
    <w:rsid w:val="00B1749C"/>
    <w:rsid w:val="00B235F8"/>
    <w:rsid w:val="00B419A0"/>
    <w:rsid w:val="00B54164"/>
    <w:rsid w:val="00B54D15"/>
    <w:rsid w:val="00B55CA0"/>
    <w:rsid w:val="00B67010"/>
    <w:rsid w:val="00B67605"/>
    <w:rsid w:val="00B715C2"/>
    <w:rsid w:val="00B716DC"/>
    <w:rsid w:val="00B87364"/>
    <w:rsid w:val="00B93ED9"/>
    <w:rsid w:val="00B94BFA"/>
    <w:rsid w:val="00B96454"/>
    <w:rsid w:val="00BA19F9"/>
    <w:rsid w:val="00BA25C9"/>
    <w:rsid w:val="00BB7DB0"/>
    <w:rsid w:val="00BC4962"/>
    <w:rsid w:val="00BE6A00"/>
    <w:rsid w:val="00BF526B"/>
    <w:rsid w:val="00BF6C09"/>
    <w:rsid w:val="00C07D07"/>
    <w:rsid w:val="00C20045"/>
    <w:rsid w:val="00C31203"/>
    <w:rsid w:val="00C346D4"/>
    <w:rsid w:val="00C361F6"/>
    <w:rsid w:val="00C46664"/>
    <w:rsid w:val="00C6389F"/>
    <w:rsid w:val="00C66687"/>
    <w:rsid w:val="00C829EF"/>
    <w:rsid w:val="00C913F5"/>
    <w:rsid w:val="00C9637E"/>
    <w:rsid w:val="00CD25D1"/>
    <w:rsid w:val="00CD61C3"/>
    <w:rsid w:val="00CD73DF"/>
    <w:rsid w:val="00CE6040"/>
    <w:rsid w:val="00CF147F"/>
    <w:rsid w:val="00D022F7"/>
    <w:rsid w:val="00D05B18"/>
    <w:rsid w:val="00D12D66"/>
    <w:rsid w:val="00D20AFD"/>
    <w:rsid w:val="00D23A44"/>
    <w:rsid w:val="00D277AF"/>
    <w:rsid w:val="00D3203E"/>
    <w:rsid w:val="00D51149"/>
    <w:rsid w:val="00D764E8"/>
    <w:rsid w:val="00D77C7C"/>
    <w:rsid w:val="00D90A74"/>
    <w:rsid w:val="00D91954"/>
    <w:rsid w:val="00DB1F1F"/>
    <w:rsid w:val="00DD3CFF"/>
    <w:rsid w:val="00DE23E6"/>
    <w:rsid w:val="00DF0B17"/>
    <w:rsid w:val="00DF23BE"/>
    <w:rsid w:val="00E019BE"/>
    <w:rsid w:val="00E133FA"/>
    <w:rsid w:val="00E20396"/>
    <w:rsid w:val="00E24792"/>
    <w:rsid w:val="00E25A53"/>
    <w:rsid w:val="00E34337"/>
    <w:rsid w:val="00E42FFB"/>
    <w:rsid w:val="00E50C56"/>
    <w:rsid w:val="00E53ACA"/>
    <w:rsid w:val="00E61E9F"/>
    <w:rsid w:val="00E910F8"/>
    <w:rsid w:val="00EC1262"/>
    <w:rsid w:val="00EC173F"/>
    <w:rsid w:val="00EC31BA"/>
    <w:rsid w:val="00ED0608"/>
    <w:rsid w:val="00EE6953"/>
    <w:rsid w:val="00F0025C"/>
    <w:rsid w:val="00F1427D"/>
    <w:rsid w:val="00F26A6D"/>
    <w:rsid w:val="00F33E02"/>
    <w:rsid w:val="00F3697B"/>
    <w:rsid w:val="00F43411"/>
    <w:rsid w:val="00F46E4B"/>
    <w:rsid w:val="00F63D92"/>
    <w:rsid w:val="00F7059E"/>
    <w:rsid w:val="00F719CC"/>
    <w:rsid w:val="00F75753"/>
    <w:rsid w:val="00F80DCA"/>
    <w:rsid w:val="00FA44D7"/>
    <w:rsid w:val="00FA7501"/>
    <w:rsid w:val="00FB2877"/>
    <w:rsid w:val="00FB44A3"/>
    <w:rsid w:val="00FC6696"/>
    <w:rsid w:val="00FD2C64"/>
    <w:rsid w:val="00FD34FC"/>
    <w:rsid w:val="00FE6229"/>
    <w:rsid w:val="00FE6388"/>
    <w:rsid w:val="00FF202A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DC4E"/>
  <w15:docId w15:val="{9949FCC3-C9B1-4A98-A46E-16B3CE3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NormaL"/>
    <w:qFormat/>
    <w:rsid w:val="00852C79"/>
    <w:pPr>
      <w:spacing w:after="0" w:line="480" w:lineRule="auto"/>
    </w:pPr>
    <w:rPr>
      <w:rFonts w:ascii="Calibri" w:hAnsi="Calibri"/>
    </w:rPr>
  </w:style>
  <w:style w:type="paragraph" w:styleId="Ttulo1">
    <w:name w:val="heading 1"/>
    <w:aliases w:val="Ladillo 2"/>
    <w:basedOn w:val="Normal"/>
    <w:next w:val="Normal"/>
    <w:link w:val="Ttulo1Car"/>
    <w:autoRedefine/>
    <w:uiPriority w:val="9"/>
    <w:qFormat/>
    <w:rsid w:val="00852C79"/>
    <w:pPr>
      <w:keepNext/>
      <w:keepLines/>
      <w:outlineLvl w:val="0"/>
    </w:pPr>
    <w:rPr>
      <w:b/>
      <w:bCs/>
      <w:szCs w:val="28"/>
      <w:lang w:val="es-ES_tradnl"/>
    </w:rPr>
  </w:style>
  <w:style w:type="paragraph" w:styleId="Ttulo2">
    <w:name w:val="heading 2"/>
    <w:aliases w:val="Ladillo 3"/>
    <w:basedOn w:val="Normal"/>
    <w:next w:val="Normal"/>
    <w:link w:val="Ttulo2Car"/>
    <w:autoRedefine/>
    <w:uiPriority w:val="9"/>
    <w:unhideWhenUsed/>
    <w:qFormat/>
    <w:rsid w:val="00852C79"/>
    <w:pPr>
      <w:keepNext/>
      <w:keepLines/>
      <w:outlineLvl w:val="1"/>
    </w:pPr>
    <w:rPr>
      <w:rFonts w:ascii="Garamond" w:eastAsiaTheme="majorEastAsia" w:hAnsi="Garamond" w:cstheme="majorBidi"/>
      <w:bCs/>
      <w:i/>
      <w:sz w:val="24"/>
      <w:szCs w:val="26"/>
    </w:rPr>
  </w:style>
  <w:style w:type="paragraph" w:styleId="Ttulo3">
    <w:name w:val="heading 3"/>
    <w:aliases w:val="Doble espacio"/>
    <w:basedOn w:val="Normal"/>
    <w:next w:val="Normal"/>
    <w:link w:val="Ttulo3Car"/>
    <w:uiPriority w:val="9"/>
    <w:unhideWhenUsed/>
    <w:qFormat/>
    <w:rsid w:val="00852C79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B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3B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3B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3B4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3B4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3B4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591C8E"/>
  </w:style>
  <w:style w:type="table" w:styleId="Tablaconcuadrcula">
    <w:name w:val="Table Grid"/>
    <w:basedOn w:val="Tablanormal"/>
    <w:uiPriority w:val="59"/>
    <w:rsid w:val="00AB6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Ladillo 2 Car"/>
    <w:link w:val="Ttulo1"/>
    <w:uiPriority w:val="9"/>
    <w:rsid w:val="00852C79"/>
    <w:rPr>
      <w:rFonts w:ascii="Calibri" w:hAnsi="Calibri"/>
      <w:b/>
      <w:bCs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rsid w:val="00852C79"/>
    <w:rPr>
      <w:rFonts w:ascii="Garamond" w:eastAsiaTheme="majorEastAsia" w:hAnsi="Garamond" w:cstheme="majorBidi"/>
      <w:bCs/>
      <w:i/>
      <w:sz w:val="24"/>
      <w:szCs w:val="26"/>
    </w:rPr>
  </w:style>
  <w:style w:type="character" w:customStyle="1" w:styleId="Ttulo3Car">
    <w:name w:val="Título 3 Car"/>
    <w:aliases w:val="Doble espacio Car"/>
    <w:link w:val="Ttulo3"/>
    <w:uiPriority w:val="9"/>
    <w:rsid w:val="00852C79"/>
    <w:rPr>
      <w:rFonts w:ascii="Calibri" w:eastAsiaTheme="majorEastAsia" w:hAnsi="Calibri" w:cstheme="majorBidi"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3B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3B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3B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3B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3B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3B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inlista2">
    <w:name w:val="Sin lista2"/>
    <w:next w:val="Sinlista"/>
    <w:semiHidden/>
    <w:rsid w:val="00703B48"/>
  </w:style>
  <w:style w:type="paragraph" w:styleId="Piedepgina">
    <w:name w:val="footer"/>
    <w:basedOn w:val="Normal"/>
    <w:link w:val="PiedepginaCar"/>
    <w:rsid w:val="00703B48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PiedepginaCar">
    <w:name w:val="Pie de página Car"/>
    <w:basedOn w:val="Fuentedeprrafopredeter"/>
    <w:link w:val="Piedepgina"/>
    <w:rsid w:val="00703B48"/>
    <w:rPr>
      <w:rFonts w:ascii="Calibri" w:eastAsia="Times New Roman" w:hAnsi="Calibri" w:cs="Times New Roman"/>
    </w:rPr>
  </w:style>
  <w:style w:type="character" w:styleId="Nmerodepgina">
    <w:name w:val="page number"/>
    <w:basedOn w:val="Fuentedeprrafopredeter"/>
    <w:rsid w:val="00703B48"/>
  </w:style>
  <w:style w:type="paragraph" w:styleId="Textosinformato">
    <w:name w:val="Plain Text"/>
    <w:basedOn w:val="Normal"/>
    <w:link w:val="TextosinformatoCar"/>
    <w:rsid w:val="00703B48"/>
    <w:pPr>
      <w:spacing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03B48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lista3">
    <w:name w:val="Table List 3"/>
    <w:basedOn w:val="Tablanormal"/>
    <w:rsid w:val="00703B4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703B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703B48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B48"/>
    <w:rPr>
      <w:rFonts w:ascii="Tahoma" w:eastAsia="Times New Roman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34"/>
    <w:rsid w:val="00703B48"/>
    <w:pPr>
      <w:ind w:left="720"/>
      <w:contextualSpacing/>
    </w:pPr>
    <w:rPr>
      <w:rFonts w:eastAsia="Times New Roman" w:cs="Times New Roman"/>
    </w:rPr>
  </w:style>
  <w:style w:type="paragraph" w:customStyle="1" w:styleId="CarCarCarCarCarCarCar">
    <w:name w:val="Car Car Car Car Car Car Car"/>
    <w:basedOn w:val="Normal"/>
    <w:rsid w:val="00703B48"/>
    <w:pPr>
      <w:spacing w:after="160" w:line="240" w:lineRule="exact"/>
    </w:pPr>
    <w:rPr>
      <w:rFonts w:ascii="Arial" w:eastAsia="Calibri" w:hAnsi="Arial" w:cs="Times New Roman"/>
      <w:sz w:val="20"/>
      <w:szCs w:val="20"/>
      <w:lang w:val="en-US"/>
    </w:rPr>
  </w:style>
  <w:style w:type="paragraph" w:customStyle="1" w:styleId="Default">
    <w:name w:val="Default"/>
    <w:rsid w:val="00703B48"/>
    <w:pPr>
      <w:autoSpaceDE w:val="0"/>
      <w:autoSpaceDN w:val="0"/>
      <w:adjustRightInd w:val="0"/>
      <w:spacing w:after="0" w:line="240" w:lineRule="auto"/>
    </w:pPr>
    <w:rPr>
      <w:rFonts w:ascii="Gill Sans Std" w:eastAsia="Times New Roman" w:hAnsi="Gill Sans Std" w:cs="Gill Sans Std"/>
      <w:color w:val="000000"/>
      <w:sz w:val="24"/>
      <w:szCs w:val="24"/>
    </w:rPr>
  </w:style>
  <w:style w:type="paragraph" w:customStyle="1" w:styleId="Pa2">
    <w:name w:val="Pa2"/>
    <w:basedOn w:val="Default"/>
    <w:next w:val="Default"/>
    <w:rsid w:val="00703B48"/>
    <w:pPr>
      <w:spacing w:line="201" w:lineRule="atLeast"/>
    </w:pPr>
    <w:rPr>
      <w:rFonts w:cs="Times New Roman"/>
      <w:color w:val="auto"/>
    </w:rPr>
  </w:style>
  <w:style w:type="character" w:customStyle="1" w:styleId="bibrecord-highlight-user">
    <w:name w:val="bibrecord-highlight-user"/>
    <w:rsid w:val="00703B48"/>
  </w:style>
  <w:style w:type="table" w:customStyle="1" w:styleId="Tablaconcuadrcula1">
    <w:name w:val="Tabla con cuadrícula1"/>
    <w:basedOn w:val="Tablanormal"/>
    <w:next w:val="Tablaconcuadrcula"/>
    <w:rsid w:val="00703B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rsid w:val="00703B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ibliografa1">
    <w:name w:val="Bibliografía1"/>
    <w:basedOn w:val="Normal"/>
    <w:rsid w:val="00703B48"/>
    <w:pPr>
      <w:tabs>
        <w:tab w:val="left" w:pos="384"/>
      </w:tabs>
      <w:spacing w:after="240" w:line="240" w:lineRule="auto"/>
      <w:ind w:left="384" w:right="-1701" w:hanging="384"/>
      <w:jc w:val="both"/>
    </w:pPr>
    <w:rPr>
      <w:rFonts w:eastAsia="Times New Roman" w:cs="Times New Roman"/>
      <w:b/>
      <w:color w:val="FF0000"/>
    </w:rPr>
  </w:style>
  <w:style w:type="character" w:customStyle="1" w:styleId="hps">
    <w:name w:val="hps"/>
    <w:rsid w:val="00703B48"/>
  </w:style>
  <w:style w:type="paragraph" w:styleId="Encabezado">
    <w:name w:val="header"/>
    <w:aliases w:val="encabezado,Encabezado 2"/>
    <w:basedOn w:val="Normal"/>
    <w:link w:val="EncabezadoCar"/>
    <w:rsid w:val="00703B48"/>
    <w:pPr>
      <w:tabs>
        <w:tab w:val="center" w:pos="4252"/>
        <w:tab w:val="right" w:pos="8504"/>
      </w:tabs>
    </w:pPr>
    <w:rPr>
      <w:rFonts w:eastAsia="Times New Roman" w:cs="Times New Roman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703B48"/>
    <w:rPr>
      <w:rFonts w:ascii="Calibri" w:eastAsia="Times New Roman" w:hAnsi="Calibri" w:cs="Times New Roman"/>
    </w:rPr>
  </w:style>
  <w:style w:type="paragraph" w:styleId="TDC1">
    <w:name w:val="toc 1"/>
    <w:basedOn w:val="Normal"/>
    <w:next w:val="Normal"/>
    <w:autoRedefine/>
    <w:rsid w:val="00703B48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703B48"/>
    <w:pPr>
      <w:spacing w:line="240" w:lineRule="auto"/>
      <w:ind w:left="240"/>
    </w:pPr>
    <w:rPr>
      <w:rFonts w:ascii="Times New Roman" w:eastAsia="Calibri" w:hAnsi="Times New Roman" w:cs="Times New Roman"/>
      <w:sz w:val="24"/>
      <w:szCs w:val="24"/>
      <w:lang w:eastAsia="es-ES"/>
    </w:rPr>
  </w:style>
  <w:style w:type="table" w:customStyle="1" w:styleId="Tablaconcuadrcula3">
    <w:name w:val="Tabla con cuadrícula3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3">
    <w:name w:val="toc 3"/>
    <w:basedOn w:val="Normal"/>
    <w:next w:val="Normal"/>
    <w:autoRedefine/>
    <w:rsid w:val="00703B48"/>
    <w:pPr>
      <w:spacing w:line="240" w:lineRule="auto"/>
      <w:ind w:left="480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703B48"/>
    <w:rPr>
      <w:rFonts w:eastAsia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B48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703B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B48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Tablaconcuadrcula4">
    <w:name w:val="Tabla con cuadrícula4"/>
    <w:locked/>
    <w:rsid w:val="00703B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1">
    <w:name w:val="Tabla con lista 11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7">
    <w:name w:val="Table List 7"/>
    <w:basedOn w:val="Tablanormal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31">
    <w:name w:val="Tabla con lista 31"/>
    <w:rsid w:val="00703B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03B48"/>
    <w:rPr>
      <w:rFonts w:cs="Times New Roman"/>
    </w:rPr>
  </w:style>
  <w:style w:type="paragraph" w:customStyle="1" w:styleId="xl63">
    <w:name w:val="xl63"/>
    <w:basedOn w:val="Normal"/>
    <w:rsid w:val="00703B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4">
    <w:name w:val="xl64"/>
    <w:basedOn w:val="Normal"/>
    <w:rsid w:val="00703B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color w:val="000000"/>
      <w:sz w:val="16"/>
      <w:szCs w:val="16"/>
      <w:lang w:eastAsia="es-ES"/>
    </w:rPr>
  </w:style>
  <w:style w:type="paragraph" w:customStyle="1" w:styleId="xl65">
    <w:name w:val="xl65"/>
    <w:basedOn w:val="Normal"/>
    <w:rsid w:val="00703B4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703B4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7">
    <w:name w:val="xl67"/>
    <w:basedOn w:val="Normal"/>
    <w:rsid w:val="00703B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8">
    <w:name w:val="xl68"/>
    <w:basedOn w:val="Normal"/>
    <w:rsid w:val="00703B4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703B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71">
    <w:name w:val="xl71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2">
    <w:name w:val="xl72"/>
    <w:basedOn w:val="Normal"/>
    <w:rsid w:val="00703B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703B48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4">
    <w:name w:val="xl74"/>
    <w:basedOn w:val="Normal"/>
    <w:rsid w:val="00703B4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5">
    <w:name w:val="xl75"/>
    <w:basedOn w:val="Normal"/>
    <w:rsid w:val="00703B4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6">
    <w:name w:val="xl76"/>
    <w:basedOn w:val="Normal"/>
    <w:rsid w:val="00703B4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7">
    <w:name w:val="xl77"/>
    <w:basedOn w:val="Normal"/>
    <w:rsid w:val="00703B48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8">
    <w:name w:val="xl78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79">
    <w:name w:val="xl79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0">
    <w:name w:val="xl80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1">
    <w:name w:val="xl81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703B48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16"/>
      <w:szCs w:val="16"/>
      <w:lang w:eastAsia="es-ES"/>
    </w:rPr>
  </w:style>
  <w:style w:type="paragraph" w:customStyle="1" w:styleId="xl83">
    <w:name w:val="xl83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703B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16"/>
      <w:szCs w:val="16"/>
      <w:lang w:eastAsia="es-ES"/>
    </w:rPr>
  </w:style>
  <w:style w:type="numbering" w:customStyle="1" w:styleId="Sinlista3">
    <w:name w:val="Sin lista3"/>
    <w:next w:val="Sinlista"/>
    <w:semiHidden/>
    <w:rsid w:val="00207E7D"/>
  </w:style>
  <w:style w:type="table" w:customStyle="1" w:styleId="Tablaconlista32">
    <w:name w:val="Tabla con lista 32"/>
    <w:basedOn w:val="Tablanormal"/>
    <w:next w:val="Tablaconlista3"/>
    <w:rsid w:val="00207E7D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6">
    <w:name w:val="Tabla con cuadrícula6"/>
    <w:basedOn w:val="Tablanormal"/>
    <w:next w:val="Tablaconcuadrcula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rsid w:val="00207E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">
    <w:name w:val="Tabla con cuadrícula3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2">
    <w:name w:val="Tabla con lista 12"/>
    <w:basedOn w:val="Tablanormal"/>
    <w:next w:val="Tablaconlista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1">
    <w:name w:val="Tabla con cuadrícula41"/>
    <w:locked/>
    <w:rsid w:val="00207E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1">
    <w:name w:val="Tabla con cuadrícula5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111">
    <w:name w:val="Tabla con lista 11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lista71">
    <w:name w:val="Tabla con lista 71"/>
    <w:basedOn w:val="Tablanormal"/>
    <w:next w:val="Tablaconlista7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aconlista311">
    <w:name w:val="Tabla con lista 311"/>
    <w:rsid w:val="00207E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4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11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11CE3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6D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852C79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aliases w:val="Normal Doble,Normal doble"/>
    <w:basedOn w:val="Normal"/>
    <w:next w:val="Normal"/>
    <w:link w:val="TtuloCar"/>
    <w:autoRedefine/>
    <w:uiPriority w:val="10"/>
    <w:qFormat/>
    <w:rsid w:val="00852C79"/>
    <w:pPr>
      <w:contextualSpacing/>
    </w:pPr>
    <w:rPr>
      <w:rFonts w:ascii="Garamond" w:eastAsiaTheme="majorEastAsia" w:hAnsi="Garamond" w:cstheme="majorBidi"/>
      <w:spacing w:val="5"/>
      <w:kern w:val="28"/>
      <w:sz w:val="24"/>
      <w:szCs w:val="52"/>
    </w:rPr>
  </w:style>
  <w:style w:type="character" w:customStyle="1" w:styleId="TtuloCar">
    <w:name w:val="Título Car"/>
    <w:aliases w:val="Normal Doble Car,Normal doble Car"/>
    <w:link w:val="Ttulo"/>
    <w:uiPriority w:val="10"/>
    <w:rsid w:val="00852C79"/>
    <w:rPr>
      <w:rFonts w:ascii="Garamond" w:eastAsiaTheme="majorEastAsia" w:hAnsi="Garamond" w:cstheme="majorBidi"/>
      <w:spacing w:val="5"/>
      <w:kern w:val="28"/>
      <w:sz w:val="24"/>
      <w:szCs w:val="52"/>
    </w:rPr>
  </w:style>
  <w:style w:type="paragraph" w:styleId="Sinespaciado">
    <w:name w:val="No Spacing"/>
    <w:aliases w:val="Ladillo 1"/>
    <w:next w:val="Normal"/>
    <w:autoRedefine/>
    <w:uiPriority w:val="1"/>
    <w:qFormat/>
    <w:rsid w:val="0044532F"/>
    <w:pPr>
      <w:spacing w:after="0" w:line="480" w:lineRule="auto"/>
      <w:ind w:left="426"/>
    </w:pPr>
    <w:rPr>
      <w:rFonts w:ascii="Calibri" w:hAnsi="Calibri"/>
      <w:b/>
      <w:caps/>
      <w:color w:val="943634"/>
    </w:rPr>
  </w:style>
  <w:style w:type="paragraph" w:styleId="Prrafodelista">
    <w:name w:val="List Paragraph"/>
    <w:aliases w:val="Doble"/>
    <w:basedOn w:val="Normal"/>
    <w:uiPriority w:val="34"/>
    <w:qFormat/>
    <w:rsid w:val="00852C7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6664"/>
    <w:rPr>
      <w:sz w:val="16"/>
      <w:szCs w:val="16"/>
    </w:rPr>
  </w:style>
  <w:style w:type="character" w:customStyle="1" w:styleId="A8">
    <w:name w:val="A8"/>
    <w:uiPriority w:val="99"/>
    <w:rsid w:val="00FF4127"/>
    <w:rPr>
      <w:rFonts w:cs="Times Ten Roman"/>
      <w:color w:val="221E1F"/>
      <w:sz w:val="11"/>
      <w:szCs w:val="11"/>
    </w:rPr>
  </w:style>
  <w:style w:type="paragraph" w:styleId="Textonotaalfinal">
    <w:name w:val="endnote text"/>
    <w:basedOn w:val="Normal"/>
    <w:link w:val="TextonotaalfinalCar"/>
    <w:uiPriority w:val="99"/>
    <w:unhideWhenUsed/>
    <w:rsid w:val="00FF4127"/>
    <w:rPr>
      <w:rFonts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F4127"/>
    <w:rPr>
      <w:rFonts w:ascii="Calibri" w:hAnsi="Calibri" w:cs="Times New Roman"/>
      <w:sz w:val="20"/>
      <w:szCs w:val="20"/>
      <w:lang w:eastAsia="es-ES"/>
    </w:rPr>
  </w:style>
  <w:style w:type="character" w:styleId="Refdenotaalfinal">
    <w:name w:val="endnote reference"/>
    <w:unhideWhenUsed/>
    <w:rsid w:val="00FF4127"/>
    <w:rPr>
      <w:vertAlign w:val="superscript"/>
    </w:rPr>
  </w:style>
  <w:style w:type="paragraph" w:customStyle="1" w:styleId="Pa8">
    <w:name w:val="Pa8"/>
    <w:basedOn w:val="Normal"/>
    <w:next w:val="Normal"/>
    <w:uiPriority w:val="99"/>
    <w:rsid w:val="00FF4127"/>
    <w:pPr>
      <w:autoSpaceDE w:val="0"/>
      <w:autoSpaceDN w:val="0"/>
      <w:adjustRightInd w:val="0"/>
      <w:spacing w:line="161" w:lineRule="atLeast"/>
    </w:pPr>
    <w:rPr>
      <w:rFonts w:ascii="Times Ten Roman" w:hAnsi="Times Ten Roman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4127"/>
    <w:rPr>
      <w:rFonts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4127"/>
    <w:rPr>
      <w:rFonts w:ascii="Calibri" w:hAnsi="Calibri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FF4127"/>
    <w:rPr>
      <w:vertAlign w:val="superscript"/>
    </w:rPr>
  </w:style>
  <w:style w:type="paragraph" w:styleId="Textoindependiente2">
    <w:name w:val="Body Text 2"/>
    <w:basedOn w:val="Normal"/>
    <w:link w:val="Textoindependiente2Car"/>
    <w:semiHidden/>
    <w:rsid w:val="00FF412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4127"/>
    <w:rPr>
      <w:rFonts w:ascii="Arial" w:eastAsia="Times New Roman" w:hAnsi="Arial" w:cs="Times New Roman"/>
      <w:sz w:val="20"/>
      <w:lang w:eastAsia="es-ES"/>
    </w:rPr>
  </w:style>
  <w:style w:type="character" w:customStyle="1" w:styleId="searchcriteria">
    <w:name w:val="searchcriteria"/>
    <w:basedOn w:val="Fuentedeprrafopredeter"/>
    <w:rsid w:val="00FF4127"/>
  </w:style>
  <w:style w:type="character" w:customStyle="1" w:styleId="jrnl">
    <w:name w:val="jrnl"/>
    <w:basedOn w:val="Fuentedeprrafopredeter"/>
    <w:rsid w:val="00FF4127"/>
  </w:style>
  <w:style w:type="paragraph" w:customStyle="1" w:styleId="CM38">
    <w:name w:val="CM38"/>
    <w:basedOn w:val="Default"/>
    <w:next w:val="Default"/>
    <w:uiPriority w:val="99"/>
    <w:rsid w:val="00FF4127"/>
    <w:pPr>
      <w:spacing w:after="200" w:line="276" w:lineRule="auto"/>
    </w:pPr>
    <w:rPr>
      <w:rFonts w:ascii="HMCIB I+ Times Ten LT Std" w:eastAsiaTheme="minorHAnsi" w:hAnsi="HMCIB I+ Times Ten LT Std" w:cs="Times New Roman"/>
      <w:b/>
      <w:color w:val="auto"/>
    </w:rPr>
  </w:style>
  <w:style w:type="character" w:customStyle="1" w:styleId="TextodegloboCar1">
    <w:name w:val="Texto de globo Car1"/>
    <w:uiPriority w:val="99"/>
    <w:semiHidden/>
    <w:rsid w:val="00FF4127"/>
    <w:rPr>
      <w:rFonts w:ascii="Tahoma" w:hAnsi="Tahoma" w:cs="Tahoma"/>
      <w:sz w:val="16"/>
      <w:szCs w:val="16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F4127"/>
    <w:rPr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F4127"/>
    <w:p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val="es-ES" w:eastAsia="es-ES"/>
    </w:rPr>
  </w:style>
  <w:style w:type="character" w:styleId="Hipervnculovisitado">
    <w:name w:val="FollowedHyperlink"/>
    <w:uiPriority w:val="99"/>
    <w:semiHidden/>
    <w:unhideWhenUsed/>
    <w:rsid w:val="00FF412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F412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ssi.gob.es/organizacion/sns/planCalidadSNS/docs/EERR/EyR_UAC.pdf" TargetMode="External"/><Relationship Id="rId13" Type="http://schemas.openxmlformats.org/officeDocument/2006/relationships/hyperlink" Target="http://www.qualitynet.or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qualitynet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es.on.ca/webpage.cfm?site_id=1&amp;org_id=67&amp;morg_id=0&amp;gsec_id=0&amp;item_id=1390&amp;type=atl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sc.es/estadEstudios/estadisticas/normalizacion/clasifEnferm/boletines/Codificacion_clinica_n30_08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msc.es/estadEstudios/estadisticas/normalizacion/clasifEnferm/boletines/Codificacion_clinica_n28_08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2006</Words>
  <Characters>11034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</dc:creator>
  <cp:lastModifiedBy>SAAVEDRA, Mª AZUCENA (ELS-BCL)</cp:lastModifiedBy>
  <cp:revision>4</cp:revision>
  <cp:lastPrinted>2016-07-08T11:57:00Z</cp:lastPrinted>
  <dcterms:created xsi:type="dcterms:W3CDTF">2016-07-08T12:17:00Z</dcterms:created>
  <dcterms:modified xsi:type="dcterms:W3CDTF">2016-07-26T12:17:00Z</dcterms:modified>
</cp:coreProperties>
</file>