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8E02DC3" w14:textId="77777777" w:rsidR="001C206A" w:rsidRPr="00651686" w:rsidRDefault="00451C72" w:rsidP="00651686">
      <w:pPr>
        <w:rPr>
          <w:b/>
        </w:rPr>
      </w:pPr>
      <w:bookmarkStart w:id="0" w:name="_GoBack"/>
      <w:bookmarkEnd w:id="0"/>
      <w:r w:rsidRPr="00651686">
        <w:rPr>
          <w:b/>
        </w:rPr>
        <w:t>MATERIAL SUPLEMENTARIO</w:t>
      </w:r>
    </w:p>
    <w:p w14:paraId="1B484B03" w14:textId="77777777" w:rsidR="001C206A" w:rsidRPr="00651686" w:rsidRDefault="00451C72" w:rsidP="00651686">
      <w:pPr>
        <w:rPr>
          <w:rFonts w:eastAsia="Times New Roman" w:cs="Arial"/>
          <w:b/>
          <w:lang w:eastAsia="it-IT"/>
        </w:rPr>
      </w:pPr>
      <w:r w:rsidRPr="00651686">
        <w:rPr>
          <w:b/>
        </w:rPr>
        <w:t>Diseño del Registro RENAMI</w:t>
      </w:r>
    </w:p>
    <w:p w14:paraId="3F727C45" w14:textId="46AADA67" w:rsidR="001C206A" w:rsidRDefault="00651686" w:rsidP="00651686">
      <w:r>
        <w:rPr>
          <w:rFonts w:eastAsia="Times New Roman" w:cs="Arial"/>
          <w:lang w:eastAsia="it-IT"/>
        </w:rPr>
        <w:t xml:space="preserve">El </w:t>
      </w:r>
      <w:r w:rsidR="00451C72">
        <w:rPr>
          <w:rFonts w:eastAsia="Times New Roman" w:cs="Arial"/>
          <w:lang w:eastAsia="it-IT"/>
        </w:rPr>
        <w:t xml:space="preserve">RENAMI </w:t>
      </w:r>
      <w:r w:rsidR="00451C72" w:rsidRPr="00651686">
        <w:rPr>
          <w:rFonts w:eastAsia="Times New Roman" w:cs="Arial"/>
          <w:i/>
          <w:lang w:eastAsia="it-IT"/>
        </w:rPr>
        <w:t>(</w:t>
      </w:r>
      <w:proofErr w:type="spellStart"/>
      <w:r w:rsidR="00451C72" w:rsidRPr="00651686">
        <w:rPr>
          <w:rFonts w:eastAsia="Times New Roman" w:cs="Arial"/>
          <w:i/>
          <w:lang w:eastAsia="it-IT"/>
        </w:rPr>
        <w:t>REgistry</w:t>
      </w:r>
      <w:proofErr w:type="spellEnd"/>
      <w:r w:rsidR="00451C72" w:rsidRPr="00651686">
        <w:rPr>
          <w:rFonts w:eastAsia="Times New Roman" w:cs="Arial"/>
          <w:i/>
          <w:lang w:eastAsia="it-IT"/>
        </w:rPr>
        <w:t xml:space="preserve"> of New </w:t>
      </w:r>
      <w:proofErr w:type="spellStart"/>
      <w:r w:rsidR="00451C72" w:rsidRPr="00651686">
        <w:rPr>
          <w:rFonts w:eastAsia="Times New Roman" w:cs="Arial"/>
          <w:i/>
          <w:lang w:eastAsia="it-IT"/>
        </w:rPr>
        <w:t>Antiplatelet</w:t>
      </w:r>
      <w:proofErr w:type="spellEnd"/>
      <w:r w:rsidR="00451C72" w:rsidRPr="00651686">
        <w:rPr>
          <w:rFonts w:eastAsia="Times New Roman" w:cs="Arial"/>
          <w:i/>
          <w:lang w:eastAsia="it-IT"/>
        </w:rPr>
        <w:t xml:space="preserve"> </w:t>
      </w:r>
      <w:proofErr w:type="spellStart"/>
      <w:r w:rsidR="00451C72" w:rsidRPr="00651686">
        <w:rPr>
          <w:rFonts w:eastAsia="Times New Roman" w:cs="Arial"/>
          <w:i/>
          <w:lang w:eastAsia="it-IT"/>
        </w:rPr>
        <w:t>therapy</w:t>
      </w:r>
      <w:proofErr w:type="spellEnd"/>
      <w:r w:rsidR="00451C72" w:rsidRPr="00651686">
        <w:rPr>
          <w:rFonts w:eastAsia="Times New Roman" w:cs="Arial"/>
          <w:i/>
          <w:lang w:eastAsia="it-IT"/>
        </w:rPr>
        <w:t xml:space="preserve"> in </w:t>
      </w:r>
      <w:proofErr w:type="spellStart"/>
      <w:r w:rsidR="00451C72" w:rsidRPr="00651686">
        <w:rPr>
          <w:rFonts w:eastAsia="Times New Roman" w:cs="Arial"/>
          <w:i/>
          <w:lang w:eastAsia="it-IT"/>
        </w:rPr>
        <w:t>patients</w:t>
      </w:r>
      <w:proofErr w:type="spellEnd"/>
      <w:r w:rsidR="00451C72" w:rsidRPr="00651686">
        <w:rPr>
          <w:rFonts w:eastAsia="Times New Roman" w:cs="Arial"/>
          <w:i/>
          <w:lang w:eastAsia="it-IT"/>
        </w:rPr>
        <w:t xml:space="preserve"> </w:t>
      </w:r>
      <w:proofErr w:type="spellStart"/>
      <w:r w:rsidR="00451C72" w:rsidRPr="00651686">
        <w:rPr>
          <w:rFonts w:eastAsia="Times New Roman" w:cs="Arial"/>
          <w:i/>
          <w:lang w:eastAsia="it-IT"/>
        </w:rPr>
        <w:t>with</w:t>
      </w:r>
      <w:proofErr w:type="spellEnd"/>
      <w:r w:rsidR="00451C72" w:rsidRPr="00651686">
        <w:rPr>
          <w:rFonts w:eastAsia="Times New Roman" w:cs="Arial"/>
          <w:i/>
          <w:lang w:eastAsia="it-IT"/>
        </w:rPr>
        <w:t xml:space="preserve"> </w:t>
      </w:r>
      <w:proofErr w:type="spellStart"/>
      <w:r w:rsidR="00451C72" w:rsidRPr="00651686">
        <w:rPr>
          <w:rFonts w:eastAsia="Times New Roman" w:cs="Arial"/>
          <w:i/>
          <w:lang w:eastAsia="it-IT"/>
        </w:rPr>
        <w:t>acute</w:t>
      </w:r>
      <w:proofErr w:type="spellEnd"/>
      <w:r w:rsidR="00451C72" w:rsidRPr="00651686">
        <w:rPr>
          <w:rFonts w:eastAsia="Times New Roman" w:cs="Arial"/>
          <w:i/>
          <w:lang w:eastAsia="it-IT"/>
        </w:rPr>
        <w:t xml:space="preserve"> </w:t>
      </w:r>
      <w:proofErr w:type="spellStart"/>
      <w:r w:rsidR="00451C72" w:rsidRPr="00651686">
        <w:rPr>
          <w:rFonts w:eastAsia="Times New Roman" w:cs="Arial"/>
          <w:i/>
          <w:lang w:eastAsia="it-IT"/>
        </w:rPr>
        <w:t>Myocardial</w:t>
      </w:r>
      <w:proofErr w:type="spellEnd"/>
      <w:r w:rsidR="00451C72" w:rsidRPr="00651686">
        <w:rPr>
          <w:rFonts w:eastAsia="Times New Roman" w:cs="Arial"/>
          <w:i/>
          <w:lang w:eastAsia="it-IT"/>
        </w:rPr>
        <w:t xml:space="preserve"> </w:t>
      </w:r>
      <w:proofErr w:type="spellStart"/>
      <w:r w:rsidR="00451C72" w:rsidRPr="00651686">
        <w:rPr>
          <w:rFonts w:eastAsia="Times New Roman" w:cs="Arial"/>
          <w:i/>
          <w:lang w:eastAsia="it-IT"/>
        </w:rPr>
        <w:t>Infarction</w:t>
      </w:r>
      <w:proofErr w:type="spellEnd"/>
      <w:r w:rsidR="00451C72" w:rsidRPr="00651686">
        <w:rPr>
          <w:rFonts w:eastAsia="Times New Roman" w:cs="Arial"/>
          <w:i/>
          <w:lang w:eastAsia="it-IT"/>
        </w:rPr>
        <w:t xml:space="preserve">) </w:t>
      </w:r>
      <w:r w:rsidR="00451C72">
        <w:rPr>
          <w:rFonts w:eastAsia="Times New Roman" w:cs="Arial"/>
          <w:lang w:eastAsia="it-IT"/>
        </w:rPr>
        <w:t>es un registro retrospectivo, observacional</w:t>
      </w:r>
      <w:r>
        <w:rPr>
          <w:rFonts w:eastAsia="Times New Roman" w:cs="Arial"/>
          <w:lang w:eastAsia="it-IT"/>
        </w:rPr>
        <w:t xml:space="preserve">, </w:t>
      </w:r>
      <w:proofErr w:type="spellStart"/>
      <w:r>
        <w:rPr>
          <w:rFonts w:eastAsia="Times New Roman" w:cs="Arial"/>
          <w:lang w:eastAsia="it-IT"/>
        </w:rPr>
        <w:t>multicéntrico</w:t>
      </w:r>
      <w:proofErr w:type="spellEnd"/>
      <w:r>
        <w:rPr>
          <w:rFonts w:eastAsia="Times New Roman" w:cs="Arial"/>
          <w:lang w:eastAsia="it-IT"/>
        </w:rPr>
        <w:t xml:space="preserve"> e internacional</w:t>
      </w:r>
      <w:r w:rsidR="00451C72">
        <w:rPr>
          <w:rFonts w:eastAsia="Times New Roman" w:cs="Arial"/>
          <w:lang w:eastAsia="it-IT"/>
        </w:rPr>
        <w:t xml:space="preserve"> en el que participaron voluntaria</w:t>
      </w:r>
      <w:r>
        <w:rPr>
          <w:rFonts w:eastAsia="Times New Roman" w:cs="Arial"/>
          <w:lang w:eastAsia="it-IT"/>
        </w:rPr>
        <w:t>mente</w:t>
      </w:r>
      <w:r w:rsidR="00451C72">
        <w:rPr>
          <w:rFonts w:eastAsia="Times New Roman" w:cs="Arial"/>
          <w:lang w:eastAsia="it-IT"/>
        </w:rPr>
        <w:t xml:space="preserve"> 11</w:t>
      </w:r>
      <w:r>
        <w:rPr>
          <w:rFonts w:eastAsia="Times New Roman" w:cs="Arial"/>
          <w:lang w:eastAsia="it-IT"/>
        </w:rPr>
        <w:t> </w:t>
      </w:r>
      <w:r w:rsidR="00451C72">
        <w:rPr>
          <w:rFonts w:eastAsia="Times New Roman" w:cs="Arial"/>
          <w:lang w:eastAsia="it-IT"/>
        </w:rPr>
        <w:t>centros de 6</w:t>
      </w:r>
      <w:r>
        <w:rPr>
          <w:rFonts w:eastAsia="Times New Roman" w:cs="Arial"/>
          <w:lang w:eastAsia="it-IT"/>
        </w:rPr>
        <w:t> </w:t>
      </w:r>
      <w:r w:rsidR="00451C72">
        <w:rPr>
          <w:rFonts w:eastAsia="Times New Roman" w:cs="Arial"/>
          <w:lang w:eastAsia="it-IT"/>
        </w:rPr>
        <w:t xml:space="preserve">países europeos (España, Italia, Suiza, Grecia, Serbia y Reino Unido). Se trata de un registro no financiado, </w:t>
      </w:r>
      <w:r w:rsidR="00451C72">
        <w:t>dependiente</w:t>
      </w:r>
      <w:r w:rsidRPr="00651686">
        <w:t xml:space="preserve"> </w:t>
      </w:r>
      <w:r>
        <w:t>del investigador</w:t>
      </w:r>
      <w:r w:rsidR="00451C72">
        <w:t xml:space="preserve">, que surge de la necesidad científica de comparar el beneficio clínico isquémico-hemorrágico </w:t>
      </w:r>
      <w:r w:rsidR="0092667A">
        <w:t>del tratamiento</w:t>
      </w:r>
      <w:r>
        <w:t xml:space="preserve"> </w:t>
      </w:r>
      <w:proofErr w:type="spellStart"/>
      <w:r w:rsidR="00451C72">
        <w:t>antiagrega</w:t>
      </w:r>
      <w:r>
        <w:t>nte</w:t>
      </w:r>
      <w:proofErr w:type="spellEnd"/>
      <w:r>
        <w:t xml:space="preserve"> </w:t>
      </w:r>
      <w:r w:rsidR="0092667A">
        <w:t xml:space="preserve">plaquetario </w:t>
      </w:r>
      <w:r>
        <w:t xml:space="preserve">doble </w:t>
      </w:r>
      <w:r w:rsidR="00451C72">
        <w:t>(</w:t>
      </w:r>
      <w:r>
        <w:t>TAPD</w:t>
      </w:r>
      <w:r w:rsidR="00451C72">
        <w:t xml:space="preserve">) con </w:t>
      </w:r>
      <w:proofErr w:type="spellStart"/>
      <w:r w:rsidR="00451C72">
        <w:t>ticagrelor</w:t>
      </w:r>
      <w:proofErr w:type="spellEnd"/>
      <w:r w:rsidR="00451C72">
        <w:t xml:space="preserve"> frente a </w:t>
      </w:r>
      <w:proofErr w:type="spellStart"/>
      <w:r w:rsidR="00451C72">
        <w:t>prasugrel</w:t>
      </w:r>
      <w:proofErr w:type="spellEnd"/>
      <w:r w:rsidR="00451C72">
        <w:t xml:space="preserve"> en pacientes con síndrome coronario agudo (SCA). </w:t>
      </w:r>
    </w:p>
    <w:p w14:paraId="2616362A" w14:textId="37D1E2C8" w:rsidR="001C206A" w:rsidRDefault="00451C72" w:rsidP="00651686">
      <w:pPr>
        <w:rPr>
          <w:rFonts w:eastAsia="Times New Roman" w:cs="Arial"/>
          <w:lang w:eastAsia="it-IT"/>
        </w:rPr>
      </w:pPr>
      <w:r>
        <w:t xml:space="preserve">Durante la celebración del </w:t>
      </w:r>
      <w:r w:rsidR="00651686">
        <w:t xml:space="preserve">Congreso Europeo </w:t>
      </w:r>
      <w:r>
        <w:t xml:space="preserve">de </w:t>
      </w:r>
      <w:r w:rsidR="00651686">
        <w:t>C</w:t>
      </w:r>
      <w:r>
        <w:t xml:space="preserve">ardiología llevado a cabo en Roma en agosto de 2016, en una reunión de jóvenes investigadores, se propuso la realización de un registro común que abordase el aspecto antedicho, utilizando datos de los centros de los investigadores allí presentes. </w:t>
      </w:r>
    </w:p>
    <w:p w14:paraId="3D28AD98" w14:textId="4CB450C5" w:rsidR="001C206A" w:rsidRDefault="00451C72" w:rsidP="00651686">
      <w:pPr>
        <w:rPr>
          <w:rFonts w:eastAsia="Times New Roman" w:cs="Arial"/>
          <w:lang w:eastAsia="it-IT"/>
        </w:rPr>
      </w:pPr>
      <w:r>
        <w:rPr>
          <w:rFonts w:eastAsia="Times New Roman" w:cs="Arial"/>
          <w:lang w:eastAsia="it-IT"/>
        </w:rPr>
        <w:t>Para ello, se diseñó una base de datos que se envió a cada uno de los 11</w:t>
      </w:r>
      <w:r w:rsidR="00651686">
        <w:rPr>
          <w:rFonts w:eastAsia="Times New Roman" w:cs="Arial"/>
          <w:lang w:eastAsia="it-IT"/>
        </w:rPr>
        <w:t> </w:t>
      </w:r>
      <w:r>
        <w:rPr>
          <w:rFonts w:eastAsia="Times New Roman" w:cs="Arial"/>
          <w:lang w:eastAsia="it-IT"/>
        </w:rPr>
        <w:t xml:space="preserve">centros participantes. En dicha base de datos se incluyó retrospectivamente información acerca de variables clínicas, analíticas y </w:t>
      </w:r>
      <w:proofErr w:type="spellStart"/>
      <w:r>
        <w:rPr>
          <w:rFonts w:eastAsia="Times New Roman" w:cs="Arial"/>
          <w:lang w:eastAsia="it-IT"/>
        </w:rPr>
        <w:t>angiográficas</w:t>
      </w:r>
      <w:proofErr w:type="spellEnd"/>
      <w:r>
        <w:rPr>
          <w:rFonts w:eastAsia="Times New Roman" w:cs="Arial"/>
          <w:lang w:eastAsia="it-IT"/>
        </w:rPr>
        <w:t>, así como datos relativos al seguimiento, en términos de mortalidad, eventos isquémicos y eventos hemorrágicos (tabla</w:t>
      </w:r>
      <w:r w:rsidR="00651686">
        <w:rPr>
          <w:rFonts w:eastAsia="Times New Roman" w:cs="Arial"/>
          <w:lang w:eastAsia="it-IT"/>
        </w:rPr>
        <w:t> </w:t>
      </w:r>
      <w:r>
        <w:rPr>
          <w:rFonts w:eastAsia="Times New Roman" w:cs="Arial"/>
          <w:lang w:eastAsia="it-IT"/>
        </w:rPr>
        <w:t>1 del material suplementario). Las bases de datos cubiertas procedentes de cada centro se enviaron encriptada</w:t>
      </w:r>
      <w:r w:rsidR="00651686">
        <w:rPr>
          <w:rFonts w:eastAsia="Times New Roman" w:cs="Arial"/>
          <w:lang w:eastAsia="it-IT"/>
        </w:rPr>
        <w:t>s</w:t>
      </w:r>
      <w:r>
        <w:rPr>
          <w:rFonts w:eastAsia="Times New Roman" w:cs="Arial"/>
          <w:lang w:eastAsia="it-IT"/>
        </w:rPr>
        <w:t xml:space="preserve"> al centro de coordinación, donde se fusionaron en un único registro.</w:t>
      </w:r>
    </w:p>
    <w:p w14:paraId="5C986CDE" w14:textId="77777777" w:rsidR="001C206A" w:rsidRDefault="001C206A" w:rsidP="00651686"/>
    <w:p w14:paraId="5E9579E2" w14:textId="77777777" w:rsidR="001C206A" w:rsidRDefault="00451C72" w:rsidP="00651686">
      <w:pPr>
        <w:rPr>
          <w:rFonts w:eastAsia="Times New Roman" w:cs="Arial"/>
          <w:lang w:eastAsia="it-IT"/>
        </w:rPr>
      </w:pPr>
      <w:r>
        <w:rPr>
          <w:rFonts w:eastAsia="Times New Roman" w:cs="Arial"/>
          <w:b/>
          <w:lang w:eastAsia="it-IT"/>
        </w:rPr>
        <w:t>Criterios de inclusión del registro RENAMI</w:t>
      </w:r>
    </w:p>
    <w:p w14:paraId="2771A8E5" w14:textId="3C8B7ADF" w:rsidR="001C206A" w:rsidRDefault="00451C72" w:rsidP="00651686">
      <w:pPr>
        <w:rPr>
          <w:rFonts w:eastAsia="Times New Roman" w:cs="Arial"/>
          <w:lang w:eastAsia="it-IT"/>
        </w:rPr>
      </w:pPr>
      <w:r>
        <w:rPr>
          <w:rFonts w:eastAsia="Times New Roman" w:cs="Arial"/>
          <w:lang w:eastAsia="it-IT"/>
        </w:rPr>
        <w:t>Pacientes consecutivos que cumpliesen todos los siguientes requisitos:</w:t>
      </w:r>
    </w:p>
    <w:p w14:paraId="4DF586AA" w14:textId="77777777" w:rsidR="00651686" w:rsidRDefault="00651686" w:rsidP="00651686">
      <w:pPr>
        <w:rPr>
          <w:rFonts w:eastAsia="Times New Roman" w:cs="Arial"/>
          <w:lang w:eastAsia="it-IT"/>
        </w:rPr>
      </w:pPr>
    </w:p>
    <w:p w14:paraId="4E693235" w14:textId="361074F9" w:rsidR="001C206A" w:rsidRDefault="00451C72" w:rsidP="00651686">
      <w:pPr>
        <w:rPr>
          <w:rFonts w:eastAsia="Times New Roman" w:cs="Arial"/>
          <w:lang w:eastAsia="it-IT"/>
        </w:rPr>
      </w:pPr>
      <w:r w:rsidRPr="00651686">
        <w:rPr>
          <w:rFonts w:eastAsia="Times New Roman" w:cs="Arial"/>
          <w:i/>
          <w:lang w:eastAsia="it-IT"/>
        </w:rPr>
        <w:t>1</w:t>
      </w:r>
      <w:r w:rsidR="00651686" w:rsidRPr="00651686">
        <w:rPr>
          <w:rFonts w:eastAsia="Times New Roman" w:cs="Arial"/>
          <w:i/>
          <w:lang w:eastAsia="it-IT"/>
        </w:rPr>
        <w:t>.</w:t>
      </w:r>
      <w:r w:rsidR="00651686">
        <w:rPr>
          <w:rFonts w:eastAsia="Times New Roman" w:cs="Arial"/>
          <w:lang w:eastAsia="it-IT"/>
        </w:rPr>
        <w:tab/>
      </w:r>
      <w:r>
        <w:rPr>
          <w:rFonts w:eastAsia="Times New Roman" w:cs="Arial"/>
          <w:lang w:eastAsia="it-IT"/>
        </w:rPr>
        <w:t xml:space="preserve">Ser dados de alta de forma consecutiva con diagnóstico de SCA en cualquier franja temporal del periodo comprendido entre enero de 2012 y enero de 2016. </w:t>
      </w:r>
    </w:p>
    <w:p w14:paraId="34B7ED00" w14:textId="63FE3D47" w:rsidR="001C206A" w:rsidRDefault="00451C72" w:rsidP="00651686">
      <w:pPr>
        <w:rPr>
          <w:rFonts w:eastAsia="Times New Roman" w:cs="Arial"/>
          <w:lang w:eastAsia="it-IT"/>
        </w:rPr>
      </w:pPr>
      <w:r w:rsidRPr="00651686">
        <w:rPr>
          <w:rFonts w:eastAsia="Times New Roman" w:cs="Arial"/>
          <w:i/>
          <w:lang w:eastAsia="it-IT"/>
        </w:rPr>
        <w:t>2</w:t>
      </w:r>
      <w:r w:rsidR="00651686" w:rsidRPr="00651686">
        <w:rPr>
          <w:rFonts w:eastAsia="Times New Roman" w:cs="Arial"/>
          <w:i/>
          <w:lang w:eastAsia="it-IT"/>
        </w:rPr>
        <w:t>.</w:t>
      </w:r>
      <w:r w:rsidR="00651686" w:rsidRPr="00651686">
        <w:rPr>
          <w:rFonts w:eastAsia="Times New Roman" w:cs="Arial"/>
          <w:i/>
          <w:lang w:eastAsia="it-IT"/>
        </w:rPr>
        <w:tab/>
      </w:r>
      <w:r>
        <w:rPr>
          <w:rFonts w:eastAsia="Times New Roman" w:cs="Arial"/>
          <w:lang w:eastAsia="it-IT"/>
        </w:rPr>
        <w:t xml:space="preserve">Tener evidencia de estenosis coronarias </w:t>
      </w:r>
      <w:proofErr w:type="spellStart"/>
      <w:r>
        <w:rPr>
          <w:rFonts w:eastAsia="Times New Roman" w:cs="Arial"/>
          <w:lang w:eastAsia="it-IT"/>
        </w:rPr>
        <w:t>angiográficamente</w:t>
      </w:r>
      <w:proofErr w:type="spellEnd"/>
      <w:r>
        <w:rPr>
          <w:rFonts w:eastAsia="Times New Roman" w:cs="Arial"/>
          <w:lang w:eastAsia="it-IT"/>
        </w:rPr>
        <w:t xml:space="preserve"> significativas (≥</w:t>
      </w:r>
      <w:r w:rsidR="00651686">
        <w:rPr>
          <w:rFonts w:eastAsia="Times New Roman" w:cs="Arial"/>
          <w:lang w:eastAsia="it-IT"/>
        </w:rPr>
        <w:t> </w:t>
      </w:r>
      <w:r>
        <w:rPr>
          <w:rFonts w:eastAsia="Times New Roman" w:cs="Arial"/>
          <w:lang w:eastAsia="it-IT"/>
        </w:rPr>
        <w:t xml:space="preserve">50% en </w:t>
      </w:r>
      <w:r w:rsidR="00651686">
        <w:rPr>
          <w:rFonts w:eastAsia="Times New Roman" w:cs="Arial"/>
          <w:lang w:eastAsia="it-IT"/>
        </w:rPr>
        <w:t xml:space="preserve">el </w:t>
      </w:r>
      <w:r>
        <w:rPr>
          <w:rFonts w:eastAsia="Times New Roman" w:cs="Arial"/>
          <w:lang w:eastAsia="it-IT"/>
        </w:rPr>
        <w:t xml:space="preserve">tronco de </w:t>
      </w:r>
      <w:r w:rsidR="00651686">
        <w:rPr>
          <w:rFonts w:eastAsia="Times New Roman" w:cs="Arial"/>
          <w:lang w:eastAsia="it-IT"/>
        </w:rPr>
        <w:t xml:space="preserve">la </w:t>
      </w:r>
      <w:r>
        <w:rPr>
          <w:rFonts w:eastAsia="Times New Roman" w:cs="Arial"/>
          <w:lang w:eastAsia="it-IT"/>
        </w:rPr>
        <w:t>coronaria izquierda</w:t>
      </w:r>
      <w:r w:rsidR="00651686">
        <w:rPr>
          <w:rFonts w:eastAsia="Times New Roman" w:cs="Arial"/>
          <w:lang w:eastAsia="it-IT"/>
        </w:rPr>
        <w:t>;</w:t>
      </w:r>
      <w:r>
        <w:rPr>
          <w:rFonts w:eastAsia="Times New Roman" w:cs="Arial"/>
          <w:lang w:eastAsia="it-IT"/>
        </w:rPr>
        <w:t xml:space="preserve"> ≥</w:t>
      </w:r>
      <w:r w:rsidR="00651686">
        <w:rPr>
          <w:rFonts w:eastAsia="Times New Roman" w:cs="Arial"/>
          <w:lang w:eastAsia="it-IT"/>
        </w:rPr>
        <w:t> </w:t>
      </w:r>
      <w:r>
        <w:rPr>
          <w:rFonts w:eastAsia="Times New Roman" w:cs="Arial"/>
          <w:lang w:eastAsia="it-IT"/>
        </w:rPr>
        <w:t>70% en el resto del árbol coronario) durante el ingreso índice por SCA.</w:t>
      </w:r>
    </w:p>
    <w:p w14:paraId="0F0BF95C" w14:textId="03ECC8D4" w:rsidR="001C206A" w:rsidRDefault="00451C72" w:rsidP="00651686">
      <w:pPr>
        <w:rPr>
          <w:rFonts w:eastAsia="Times New Roman" w:cs="Arial"/>
          <w:lang w:eastAsia="it-IT"/>
        </w:rPr>
      </w:pPr>
      <w:r w:rsidRPr="00651686">
        <w:rPr>
          <w:rFonts w:eastAsia="Times New Roman" w:cs="Arial"/>
          <w:i/>
          <w:lang w:eastAsia="it-IT"/>
        </w:rPr>
        <w:t>3</w:t>
      </w:r>
      <w:r w:rsidR="00651686" w:rsidRPr="00651686">
        <w:rPr>
          <w:rFonts w:eastAsia="Times New Roman" w:cs="Arial"/>
          <w:i/>
          <w:lang w:eastAsia="it-IT"/>
        </w:rPr>
        <w:t>.</w:t>
      </w:r>
      <w:r w:rsidR="00651686" w:rsidRPr="00651686">
        <w:rPr>
          <w:rFonts w:eastAsia="Times New Roman" w:cs="Arial"/>
          <w:i/>
          <w:lang w:eastAsia="it-IT"/>
        </w:rPr>
        <w:tab/>
      </w:r>
      <w:r>
        <w:rPr>
          <w:rFonts w:eastAsia="Times New Roman" w:cs="Arial"/>
          <w:lang w:eastAsia="it-IT"/>
        </w:rPr>
        <w:t>Realización de intervención coronaria percutánea (ICP) durante el ingreso índice por SCA.</w:t>
      </w:r>
    </w:p>
    <w:p w14:paraId="596A0886" w14:textId="094939DE" w:rsidR="001C206A" w:rsidRDefault="00451C72" w:rsidP="00651686">
      <w:pPr>
        <w:rPr>
          <w:rFonts w:eastAsia="Times New Roman" w:cs="Arial"/>
          <w:lang w:eastAsia="it-IT"/>
        </w:rPr>
      </w:pPr>
      <w:bookmarkStart w:id="1" w:name="_Hlk498240564"/>
      <w:bookmarkEnd w:id="1"/>
      <w:r w:rsidRPr="00651686">
        <w:rPr>
          <w:rFonts w:eastAsia="Times New Roman" w:cs="Arial"/>
          <w:i/>
          <w:lang w:eastAsia="it-IT"/>
        </w:rPr>
        <w:lastRenderedPageBreak/>
        <w:t>4</w:t>
      </w:r>
      <w:r w:rsidR="00651686" w:rsidRPr="00651686">
        <w:rPr>
          <w:rFonts w:eastAsia="Times New Roman" w:cs="Arial"/>
          <w:i/>
          <w:lang w:eastAsia="it-IT"/>
        </w:rPr>
        <w:t>.</w:t>
      </w:r>
      <w:r w:rsidR="00651686" w:rsidRPr="00651686">
        <w:rPr>
          <w:rFonts w:eastAsia="Times New Roman" w:cs="Arial"/>
          <w:i/>
          <w:lang w:eastAsia="it-IT"/>
        </w:rPr>
        <w:tab/>
      </w:r>
      <w:r>
        <w:rPr>
          <w:rFonts w:eastAsia="Times New Roman" w:cs="Arial"/>
          <w:lang w:eastAsia="it-IT"/>
        </w:rPr>
        <w:t>Tener prescrit</w:t>
      </w:r>
      <w:r w:rsidR="00651686">
        <w:rPr>
          <w:rFonts w:eastAsia="Times New Roman" w:cs="Arial"/>
          <w:lang w:eastAsia="it-IT"/>
        </w:rPr>
        <w:t>a</w:t>
      </w:r>
      <w:r>
        <w:rPr>
          <w:rFonts w:eastAsia="Times New Roman" w:cs="Arial"/>
          <w:lang w:eastAsia="it-IT"/>
        </w:rPr>
        <w:t xml:space="preserve"> al alta </w:t>
      </w:r>
      <w:r w:rsidR="0092667A">
        <w:rPr>
          <w:rFonts w:eastAsia="Times New Roman" w:cs="Arial"/>
          <w:lang w:eastAsia="it-IT"/>
        </w:rPr>
        <w:t xml:space="preserve">con </w:t>
      </w:r>
      <w:r w:rsidR="00651686">
        <w:rPr>
          <w:rFonts w:eastAsia="Times New Roman" w:cs="Arial"/>
          <w:lang w:eastAsia="it-IT"/>
        </w:rPr>
        <w:t>TAPD</w:t>
      </w:r>
      <w:r>
        <w:rPr>
          <w:rFonts w:eastAsia="Times New Roman" w:cs="Arial"/>
          <w:lang w:eastAsia="it-IT"/>
        </w:rPr>
        <w:t xml:space="preserve"> con ácido acetilsalicílico (100</w:t>
      </w:r>
      <w:r w:rsidR="00651686">
        <w:rPr>
          <w:rFonts w:eastAsia="Times New Roman" w:cs="Arial"/>
          <w:lang w:eastAsia="it-IT"/>
        </w:rPr>
        <w:t> </w:t>
      </w:r>
      <w:r>
        <w:rPr>
          <w:rFonts w:eastAsia="Times New Roman" w:cs="Arial"/>
          <w:lang w:eastAsia="it-IT"/>
        </w:rPr>
        <w:t>mg</w:t>
      </w:r>
      <w:r w:rsidR="00651686">
        <w:rPr>
          <w:rFonts w:eastAsia="Times New Roman" w:cs="Arial"/>
          <w:lang w:eastAsia="it-IT"/>
        </w:rPr>
        <w:t>/</w:t>
      </w:r>
      <w:r>
        <w:rPr>
          <w:rFonts w:eastAsia="Times New Roman" w:cs="Arial"/>
          <w:lang w:eastAsia="it-IT"/>
        </w:rPr>
        <w:t>24</w:t>
      </w:r>
      <w:r w:rsidR="00651686">
        <w:rPr>
          <w:rFonts w:eastAsia="Times New Roman" w:cs="Arial"/>
          <w:lang w:eastAsia="it-IT"/>
        </w:rPr>
        <w:t> </w:t>
      </w:r>
      <w:r>
        <w:rPr>
          <w:rFonts w:eastAsia="Times New Roman" w:cs="Arial"/>
          <w:lang w:eastAsia="it-IT"/>
        </w:rPr>
        <w:t xml:space="preserve">h) más </w:t>
      </w:r>
      <w:proofErr w:type="spellStart"/>
      <w:r>
        <w:rPr>
          <w:rFonts w:eastAsia="Times New Roman" w:cs="Arial"/>
          <w:lang w:eastAsia="it-IT"/>
        </w:rPr>
        <w:t>prasugrel</w:t>
      </w:r>
      <w:proofErr w:type="spellEnd"/>
      <w:r>
        <w:rPr>
          <w:rFonts w:eastAsia="Times New Roman" w:cs="Arial"/>
          <w:lang w:eastAsia="it-IT"/>
        </w:rPr>
        <w:t xml:space="preserve"> (10</w:t>
      </w:r>
      <w:r w:rsidR="00651686">
        <w:rPr>
          <w:rFonts w:eastAsia="Times New Roman" w:cs="Arial"/>
          <w:lang w:eastAsia="it-IT"/>
        </w:rPr>
        <w:t> </w:t>
      </w:r>
      <w:r>
        <w:rPr>
          <w:rFonts w:eastAsia="Times New Roman" w:cs="Arial"/>
          <w:lang w:eastAsia="it-IT"/>
        </w:rPr>
        <w:t>mg</w:t>
      </w:r>
      <w:r w:rsidR="00651686">
        <w:rPr>
          <w:rFonts w:eastAsia="Times New Roman" w:cs="Arial"/>
          <w:lang w:eastAsia="it-IT"/>
        </w:rPr>
        <w:t>/</w:t>
      </w:r>
      <w:r>
        <w:rPr>
          <w:rFonts w:eastAsia="Times New Roman" w:cs="Arial"/>
          <w:lang w:eastAsia="it-IT"/>
        </w:rPr>
        <w:t>24</w:t>
      </w:r>
      <w:r w:rsidR="00651686">
        <w:rPr>
          <w:rFonts w:eastAsia="Times New Roman" w:cs="Arial"/>
          <w:lang w:eastAsia="it-IT"/>
        </w:rPr>
        <w:t> </w:t>
      </w:r>
      <w:r>
        <w:rPr>
          <w:rFonts w:eastAsia="Times New Roman" w:cs="Arial"/>
          <w:lang w:eastAsia="it-IT"/>
        </w:rPr>
        <w:t>h) o con ácido acetilsalicílico (100</w:t>
      </w:r>
      <w:r w:rsidR="00651686">
        <w:rPr>
          <w:rFonts w:eastAsia="Times New Roman" w:cs="Arial"/>
          <w:lang w:eastAsia="it-IT"/>
        </w:rPr>
        <w:t> </w:t>
      </w:r>
      <w:r>
        <w:rPr>
          <w:rFonts w:eastAsia="Times New Roman" w:cs="Arial"/>
          <w:lang w:eastAsia="it-IT"/>
        </w:rPr>
        <w:t>mg</w:t>
      </w:r>
      <w:r w:rsidR="00651686">
        <w:rPr>
          <w:rFonts w:eastAsia="Times New Roman" w:cs="Arial"/>
          <w:lang w:eastAsia="it-IT"/>
        </w:rPr>
        <w:t>/</w:t>
      </w:r>
      <w:r>
        <w:rPr>
          <w:rFonts w:eastAsia="Times New Roman" w:cs="Arial"/>
          <w:lang w:eastAsia="it-IT"/>
        </w:rPr>
        <w:t>24</w:t>
      </w:r>
      <w:r w:rsidR="00651686">
        <w:rPr>
          <w:rFonts w:eastAsia="Times New Roman" w:cs="Arial"/>
          <w:lang w:eastAsia="it-IT"/>
        </w:rPr>
        <w:t> </w:t>
      </w:r>
      <w:r>
        <w:rPr>
          <w:rFonts w:eastAsia="Times New Roman" w:cs="Arial"/>
          <w:lang w:eastAsia="it-IT"/>
        </w:rPr>
        <w:t xml:space="preserve">h) más </w:t>
      </w:r>
      <w:proofErr w:type="spellStart"/>
      <w:r>
        <w:rPr>
          <w:rFonts w:eastAsia="Times New Roman" w:cs="Arial"/>
          <w:lang w:eastAsia="it-IT"/>
        </w:rPr>
        <w:t>ticagrelor</w:t>
      </w:r>
      <w:proofErr w:type="spellEnd"/>
      <w:r>
        <w:rPr>
          <w:rFonts w:eastAsia="Times New Roman" w:cs="Arial"/>
          <w:lang w:eastAsia="it-IT"/>
        </w:rPr>
        <w:t xml:space="preserve"> (90</w:t>
      </w:r>
      <w:r w:rsidR="00651686">
        <w:rPr>
          <w:rFonts w:eastAsia="Times New Roman" w:cs="Arial"/>
          <w:lang w:eastAsia="it-IT"/>
        </w:rPr>
        <w:t> </w:t>
      </w:r>
      <w:r>
        <w:rPr>
          <w:rFonts w:eastAsia="Times New Roman" w:cs="Arial"/>
          <w:lang w:eastAsia="it-IT"/>
        </w:rPr>
        <w:t>mg</w:t>
      </w:r>
      <w:r w:rsidR="00651686">
        <w:rPr>
          <w:rFonts w:eastAsia="Times New Roman" w:cs="Arial"/>
          <w:lang w:eastAsia="it-IT"/>
        </w:rPr>
        <w:t>/</w:t>
      </w:r>
      <w:r>
        <w:rPr>
          <w:rFonts w:eastAsia="Times New Roman" w:cs="Arial"/>
          <w:lang w:eastAsia="it-IT"/>
        </w:rPr>
        <w:t>12</w:t>
      </w:r>
      <w:r w:rsidR="00651686">
        <w:rPr>
          <w:rFonts w:eastAsia="Times New Roman" w:cs="Arial"/>
          <w:lang w:eastAsia="it-IT"/>
        </w:rPr>
        <w:t> </w:t>
      </w:r>
      <w:r>
        <w:rPr>
          <w:rFonts w:eastAsia="Times New Roman" w:cs="Arial"/>
          <w:lang w:eastAsia="it-IT"/>
        </w:rPr>
        <w:t>h).</w:t>
      </w:r>
    </w:p>
    <w:p w14:paraId="53D5EF2B" w14:textId="77777777" w:rsidR="001C206A" w:rsidRDefault="001C206A" w:rsidP="00651686"/>
    <w:p w14:paraId="1B929509" w14:textId="77777777" w:rsidR="00651686" w:rsidRDefault="00651686">
      <w:pPr>
        <w:suppressAutoHyphens w:val="0"/>
        <w:spacing w:line="240" w:lineRule="auto"/>
      </w:pPr>
      <w:r>
        <w:br w:type="page"/>
      </w:r>
    </w:p>
    <w:p w14:paraId="750D90CB" w14:textId="77777777" w:rsidR="00651686" w:rsidRDefault="00451C72" w:rsidP="00651686">
      <w:r w:rsidRPr="00651686">
        <w:rPr>
          <w:b/>
        </w:rPr>
        <w:lastRenderedPageBreak/>
        <w:t>Tabla 1 del material suplementario</w:t>
      </w:r>
    </w:p>
    <w:p w14:paraId="66D34253" w14:textId="70059D9A" w:rsidR="001C206A" w:rsidRDefault="00451C72" w:rsidP="00651686">
      <w:r w:rsidRPr="00651686">
        <w:t>Lista</w:t>
      </w:r>
      <w:r w:rsidR="00651686">
        <w:t xml:space="preserve"> </w:t>
      </w:r>
      <w:r w:rsidRPr="00651686">
        <w:t xml:space="preserve">de </w:t>
      </w:r>
      <w:r w:rsidR="00651686">
        <w:t xml:space="preserve">las </w:t>
      </w:r>
      <w:r w:rsidRPr="00651686">
        <w:t>variables del registro RENAMI</w:t>
      </w:r>
    </w:p>
    <w:p w14:paraId="227C1BA7" w14:textId="77777777" w:rsidR="00651686" w:rsidRPr="00651686" w:rsidRDefault="00651686" w:rsidP="00651686"/>
    <w:tbl>
      <w:tblPr>
        <w:tblStyle w:val="TableGrid"/>
        <w:tblW w:w="0" w:type="auto"/>
        <w:tblLook w:val="04A0" w:firstRow="1" w:lastRow="0" w:firstColumn="1" w:lastColumn="0" w:noHBand="0" w:noVBand="1"/>
      </w:tblPr>
      <w:tblGrid>
        <w:gridCol w:w="9286"/>
      </w:tblGrid>
      <w:tr w:rsidR="007769F5" w:rsidRPr="003B726C" w14:paraId="237EDE2C" w14:textId="77777777" w:rsidTr="00173734">
        <w:trPr>
          <w:trHeight w:val="7547"/>
        </w:trPr>
        <w:tc>
          <w:tcPr>
            <w:tcW w:w="0" w:type="auto"/>
          </w:tcPr>
          <w:p w14:paraId="23140119" w14:textId="77777777" w:rsidR="007769F5" w:rsidRPr="003B726C" w:rsidRDefault="007769F5" w:rsidP="00173734">
            <w:pPr>
              <w:rPr>
                <w:i/>
              </w:rPr>
            </w:pPr>
            <w:r w:rsidRPr="003B726C">
              <w:rPr>
                <w:i/>
              </w:rPr>
              <w:t>Variables basales</w:t>
            </w:r>
          </w:p>
          <w:p w14:paraId="517AE06A" w14:textId="77777777" w:rsidR="007769F5" w:rsidRPr="003B726C" w:rsidRDefault="007769F5" w:rsidP="00173734">
            <w:r w:rsidRPr="003B726C">
              <w:t xml:space="preserve">  Fecha de ingreso (variable fecha)</w:t>
            </w:r>
          </w:p>
          <w:p w14:paraId="72003585" w14:textId="77777777" w:rsidR="007769F5" w:rsidRPr="003B726C" w:rsidRDefault="007769F5" w:rsidP="00173734">
            <w:r w:rsidRPr="003B726C">
              <w:t xml:space="preserve">  Fecha de nacimiento (variable fecha)</w:t>
            </w:r>
          </w:p>
          <w:p w14:paraId="0D12288E" w14:textId="77777777" w:rsidR="007769F5" w:rsidRPr="003B726C" w:rsidRDefault="007769F5" w:rsidP="00173734">
            <w:r w:rsidRPr="003B726C">
              <w:t xml:space="preserve">  Edad (variable continua; años)</w:t>
            </w:r>
          </w:p>
          <w:p w14:paraId="0CAA7F2B" w14:textId="77777777" w:rsidR="007769F5" w:rsidRPr="003B726C" w:rsidRDefault="007769F5" w:rsidP="00173734">
            <w:r w:rsidRPr="003B726C">
              <w:t xml:space="preserve">  Sexo (varón o mujer)</w:t>
            </w:r>
          </w:p>
          <w:p w14:paraId="03DD5537" w14:textId="77777777" w:rsidR="007769F5" w:rsidRPr="003B726C" w:rsidRDefault="007769F5" w:rsidP="00173734">
            <w:r w:rsidRPr="003B726C">
              <w:t xml:space="preserve">  Diabetes mellitus (sí/no)</w:t>
            </w:r>
          </w:p>
          <w:p w14:paraId="5D1AC21F" w14:textId="77777777" w:rsidR="007769F5" w:rsidRPr="003B726C" w:rsidRDefault="007769F5" w:rsidP="00173734">
            <w:r w:rsidRPr="003B726C">
              <w:t xml:space="preserve">  Hipertensión arterial (sí/no)</w:t>
            </w:r>
          </w:p>
          <w:p w14:paraId="6696005E" w14:textId="77777777" w:rsidR="007769F5" w:rsidRPr="003B726C" w:rsidRDefault="007769F5" w:rsidP="00173734">
            <w:r w:rsidRPr="003B726C">
              <w:t xml:space="preserve">  </w:t>
            </w:r>
            <w:proofErr w:type="spellStart"/>
            <w:r w:rsidRPr="003B726C">
              <w:t>Dislipemia</w:t>
            </w:r>
            <w:proofErr w:type="spellEnd"/>
            <w:r w:rsidRPr="003B726C">
              <w:t xml:space="preserve"> (sí/no)</w:t>
            </w:r>
          </w:p>
          <w:p w14:paraId="2398FF93" w14:textId="77777777" w:rsidR="007769F5" w:rsidRPr="003B726C" w:rsidRDefault="007769F5" w:rsidP="00173734">
            <w:r w:rsidRPr="003B726C">
              <w:t xml:space="preserve">  Tabaquismo (sí/no)</w:t>
            </w:r>
          </w:p>
          <w:p w14:paraId="3F9173AF" w14:textId="77777777" w:rsidR="007769F5" w:rsidRPr="003B726C" w:rsidRDefault="007769F5" w:rsidP="00173734">
            <w:r w:rsidRPr="003B726C">
              <w:t xml:space="preserve">  Peso (variable continua; kg)</w:t>
            </w:r>
          </w:p>
          <w:p w14:paraId="4A0FCCC7" w14:textId="77777777" w:rsidR="007769F5" w:rsidRPr="003B726C" w:rsidRDefault="007769F5" w:rsidP="00173734">
            <w:r w:rsidRPr="003B726C">
              <w:t xml:space="preserve">  Talla (variable continua; cm)</w:t>
            </w:r>
          </w:p>
          <w:p w14:paraId="5B2FBDB7" w14:textId="77777777" w:rsidR="007769F5" w:rsidRPr="003B726C" w:rsidRDefault="007769F5" w:rsidP="00173734">
            <w:r w:rsidRPr="003B726C">
              <w:t xml:space="preserve">  Historia de cáncer en los últimos 5 años (sí/no)</w:t>
            </w:r>
          </w:p>
          <w:p w14:paraId="518E0400" w14:textId="77777777" w:rsidR="007769F5" w:rsidRPr="003B726C" w:rsidRDefault="007769F5" w:rsidP="00173734">
            <w:r w:rsidRPr="003B726C">
              <w:t xml:space="preserve">  Ingreso previo por hemorragia (sí/no)</w:t>
            </w:r>
          </w:p>
          <w:p w14:paraId="503C4AC4" w14:textId="77777777" w:rsidR="007769F5" w:rsidRPr="003B726C" w:rsidRDefault="007769F5" w:rsidP="00173734">
            <w:r w:rsidRPr="003B726C">
              <w:t xml:space="preserve">  Enfermedad arterial periférica (sí/no)</w:t>
            </w:r>
          </w:p>
          <w:p w14:paraId="340D2815" w14:textId="77777777" w:rsidR="007769F5" w:rsidRPr="003B726C" w:rsidRDefault="007769F5" w:rsidP="00173734">
            <w:r w:rsidRPr="003B726C">
              <w:t xml:space="preserve">  Ictus isquémico previo (sí/no)</w:t>
            </w:r>
          </w:p>
          <w:p w14:paraId="77C7702A" w14:textId="77777777" w:rsidR="007769F5" w:rsidRPr="003B726C" w:rsidRDefault="007769F5" w:rsidP="00173734">
            <w:r w:rsidRPr="003B726C">
              <w:t xml:space="preserve">  Antecedente de infarto de miocardio (sí/no)</w:t>
            </w:r>
          </w:p>
          <w:p w14:paraId="3926E07D" w14:textId="77777777" w:rsidR="007769F5" w:rsidRPr="003B726C" w:rsidRDefault="007769F5" w:rsidP="00173734">
            <w:pPr>
              <w:rPr>
                <w:i/>
              </w:rPr>
            </w:pPr>
            <w:r w:rsidRPr="003B726C">
              <w:t xml:space="preserve">  Antecedente de intervención coronaria percutánea (sí/no)</w:t>
            </w:r>
          </w:p>
        </w:tc>
      </w:tr>
      <w:tr w:rsidR="007769F5" w:rsidRPr="003B726C" w14:paraId="7DE30DDC" w14:textId="77777777" w:rsidTr="00B574EA">
        <w:trPr>
          <w:trHeight w:val="693"/>
        </w:trPr>
        <w:tc>
          <w:tcPr>
            <w:tcW w:w="0" w:type="auto"/>
          </w:tcPr>
          <w:p w14:paraId="551E11C1" w14:textId="77777777" w:rsidR="007769F5" w:rsidRPr="003B726C" w:rsidRDefault="007769F5" w:rsidP="00173734">
            <w:pPr>
              <w:rPr>
                <w:i/>
              </w:rPr>
            </w:pPr>
            <w:r w:rsidRPr="003B726C">
              <w:rPr>
                <w:i/>
              </w:rPr>
              <w:t>Modo de presentación</w:t>
            </w:r>
          </w:p>
          <w:p w14:paraId="7D9BF5CC" w14:textId="7003A647" w:rsidR="007769F5" w:rsidRPr="003B726C" w:rsidRDefault="007769F5" w:rsidP="00173734">
            <w:r w:rsidRPr="003B726C">
              <w:t xml:space="preserve">  Tipo de síndrome coronario agudo: angina inestable/infarto agudo de miocardio con elevación del </w:t>
            </w:r>
            <w:r w:rsidR="0092667A">
              <w:t xml:space="preserve">segmento </w:t>
            </w:r>
            <w:r w:rsidRPr="003B726C">
              <w:t xml:space="preserve">ST, infarto agudo de miocardio sin elevación del </w:t>
            </w:r>
            <w:r w:rsidR="0092667A">
              <w:t xml:space="preserve">segmento </w:t>
            </w:r>
            <w:r w:rsidRPr="003B726C">
              <w:t>ST</w:t>
            </w:r>
          </w:p>
          <w:p w14:paraId="63318765" w14:textId="77777777" w:rsidR="007769F5" w:rsidRPr="003B726C" w:rsidRDefault="007769F5" w:rsidP="00173734">
            <w:r w:rsidRPr="003B726C">
              <w:t xml:space="preserve">  Parada cardiaca al ingreso (sí/no)</w:t>
            </w:r>
          </w:p>
          <w:p w14:paraId="7E242A4B" w14:textId="77777777" w:rsidR="007769F5" w:rsidRPr="00D83E9C" w:rsidRDefault="007769F5" w:rsidP="00173734">
            <w:pPr>
              <w:rPr>
                <w:lang w:val="en-US"/>
              </w:rPr>
            </w:pPr>
            <w:r w:rsidRPr="003B726C">
              <w:t xml:space="preserve">  </w:t>
            </w:r>
            <w:proofErr w:type="spellStart"/>
            <w:r w:rsidRPr="00D83E9C">
              <w:rPr>
                <w:lang w:val="en-US"/>
              </w:rPr>
              <w:t>Clase</w:t>
            </w:r>
            <w:proofErr w:type="spellEnd"/>
            <w:r w:rsidRPr="00D83E9C">
              <w:rPr>
                <w:lang w:val="en-US"/>
              </w:rPr>
              <w:t xml:space="preserve"> </w:t>
            </w:r>
            <w:proofErr w:type="spellStart"/>
            <w:r w:rsidRPr="00D83E9C">
              <w:rPr>
                <w:lang w:val="en-US"/>
              </w:rPr>
              <w:t>Killip</w:t>
            </w:r>
            <w:proofErr w:type="spellEnd"/>
            <w:r w:rsidRPr="00D83E9C">
              <w:rPr>
                <w:lang w:val="en-US"/>
              </w:rPr>
              <w:t xml:space="preserve"> (I/II/III/IV)</w:t>
            </w:r>
          </w:p>
          <w:p w14:paraId="4C778212" w14:textId="77777777" w:rsidR="007769F5" w:rsidRPr="003B726C" w:rsidRDefault="007769F5" w:rsidP="00173734">
            <w:r w:rsidRPr="00D83E9C">
              <w:rPr>
                <w:lang w:val="en-US"/>
              </w:rPr>
              <w:t xml:space="preserve">  </w:t>
            </w:r>
            <w:r w:rsidRPr="003B726C">
              <w:t xml:space="preserve">Frecuencia cardiaca al ingreso (variable continua; </w:t>
            </w:r>
            <w:proofErr w:type="spellStart"/>
            <w:r w:rsidRPr="003B726C">
              <w:t>lpm</w:t>
            </w:r>
            <w:proofErr w:type="spellEnd"/>
            <w:r w:rsidRPr="003B726C">
              <w:t>)</w:t>
            </w:r>
          </w:p>
          <w:p w14:paraId="1FC5CC13" w14:textId="77777777" w:rsidR="007769F5" w:rsidRPr="003B726C" w:rsidRDefault="007769F5" w:rsidP="00173734">
            <w:r w:rsidRPr="003B726C">
              <w:t xml:space="preserve">  Presión arterial al ingreso (variable continua; </w:t>
            </w:r>
            <w:proofErr w:type="spellStart"/>
            <w:r w:rsidRPr="003B726C">
              <w:t>mmHg</w:t>
            </w:r>
            <w:proofErr w:type="spellEnd"/>
            <w:r w:rsidRPr="003B726C">
              <w:t>)</w:t>
            </w:r>
          </w:p>
          <w:p w14:paraId="0232BF16" w14:textId="77777777" w:rsidR="007769F5" w:rsidRPr="003B726C" w:rsidRDefault="007769F5" w:rsidP="00173734">
            <w:r w:rsidRPr="003B726C">
              <w:t xml:space="preserve">  Fibrilación auricular al ingreso (sí/no)</w:t>
            </w:r>
          </w:p>
          <w:p w14:paraId="6FD95BB9" w14:textId="77777777" w:rsidR="007769F5" w:rsidRPr="003B726C" w:rsidRDefault="007769F5" w:rsidP="00173734">
            <w:r w:rsidRPr="003B726C">
              <w:t xml:space="preserve">  Creatinina al ingreso (variable continua; mg/dl)</w:t>
            </w:r>
          </w:p>
          <w:p w14:paraId="00A0B2E9" w14:textId="77777777" w:rsidR="007769F5" w:rsidRPr="003B726C" w:rsidRDefault="007769F5" w:rsidP="00173734">
            <w:r w:rsidRPr="003B726C">
              <w:t xml:space="preserve">  Hemoglobina al ingreso (variable continua; g/dl)</w:t>
            </w:r>
          </w:p>
          <w:p w14:paraId="2FFC5203" w14:textId="77777777" w:rsidR="007769F5" w:rsidRPr="003B726C" w:rsidRDefault="007769F5" w:rsidP="00173734">
            <w:pPr>
              <w:rPr>
                <w:i/>
              </w:rPr>
            </w:pPr>
            <w:r w:rsidRPr="003B726C">
              <w:lastRenderedPageBreak/>
              <w:t xml:space="preserve">  Hematocrito al ingreso (variable continua; %)</w:t>
            </w:r>
          </w:p>
        </w:tc>
      </w:tr>
      <w:tr w:rsidR="007769F5" w:rsidRPr="003B726C" w14:paraId="326D8F43" w14:textId="77777777" w:rsidTr="00173734">
        <w:trPr>
          <w:trHeight w:val="4870"/>
        </w:trPr>
        <w:tc>
          <w:tcPr>
            <w:tcW w:w="0" w:type="auto"/>
          </w:tcPr>
          <w:p w14:paraId="0A97B549" w14:textId="2389752F" w:rsidR="007769F5" w:rsidRPr="003B726C" w:rsidRDefault="007769F5" w:rsidP="00173734">
            <w:pPr>
              <w:rPr>
                <w:i/>
              </w:rPr>
            </w:pPr>
            <w:r w:rsidRPr="003B726C">
              <w:rPr>
                <w:i/>
              </w:rPr>
              <w:lastRenderedPageBreak/>
              <w:t>Tratamiento durante la hospitali</w:t>
            </w:r>
            <w:r w:rsidR="0092667A">
              <w:rPr>
                <w:i/>
              </w:rPr>
              <w:t>z</w:t>
            </w:r>
            <w:r w:rsidRPr="003B726C">
              <w:rPr>
                <w:i/>
              </w:rPr>
              <w:t>ación</w:t>
            </w:r>
          </w:p>
          <w:p w14:paraId="7912733A" w14:textId="77777777" w:rsidR="007769F5" w:rsidRPr="003B726C" w:rsidRDefault="007769F5" w:rsidP="00173734">
            <w:r w:rsidRPr="003B726C">
              <w:t xml:space="preserve">  </w:t>
            </w:r>
            <w:proofErr w:type="spellStart"/>
            <w:r w:rsidRPr="003B726C">
              <w:t>Coronariografía</w:t>
            </w:r>
            <w:proofErr w:type="spellEnd"/>
            <w:r w:rsidRPr="003B726C">
              <w:t xml:space="preserve"> (sí/no)</w:t>
            </w:r>
          </w:p>
          <w:p w14:paraId="53DB83BC" w14:textId="77777777" w:rsidR="007769F5" w:rsidRPr="003B726C" w:rsidRDefault="007769F5" w:rsidP="00173734">
            <w:r w:rsidRPr="003B726C">
              <w:t xml:space="preserve">  Enfermedad </w:t>
            </w:r>
            <w:proofErr w:type="spellStart"/>
            <w:r w:rsidRPr="003B726C">
              <w:t>multivaso</w:t>
            </w:r>
            <w:proofErr w:type="spellEnd"/>
            <w:r w:rsidRPr="003B726C">
              <w:t xml:space="preserve"> (2 o más arterias coronarias con estenosis </w:t>
            </w:r>
            <w:r w:rsidRPr="003B726C">
              <w:rPr>
                <w:rFonts w:cs="Tahoma"/>
              </w:rPr>
              <w:t>≥</w:t>
            </w:r>
            <w:r w:rsidRPr="003B726C">
              <w:t> 70%)</w:t>
            </w:r>
          </w:p>
          <w:p w14:paraId="2759B351" w14:textId="77777777" w:rsidR="007769F5" w:rsidRPr="003B726C" w:rsidRDefault="007769F5" w:rsidP="00173734">
            <w:r w:rsidRPr="003B726C">
              <w:t xml:space="preserve">  </w:t>
            </w:r>
            <w:r w:rsidRPr="003B726C">
              <w:rPr>
                <w:rFonts w:hint="eastAsia"/>
              </w:rPr>
              <w:t>Estenosis de</w:t>
            </w:r>
            <w:r w:rsidRPr="003B726C">
              <w:t>l</w:t>
            </w:r>
            <w:r w:rsidRPr="003B726C">
              <w:rPr>
                <w:rFonts w:hint="eastAsia"/>
              </w:rPr>
              <w:t xml:space="preserve"> tronco de </w:t>
            </w:r>
            <w:r w:rsidRPr="003B726C">
              <w:t xml:space="preserve">la </w:t>
            </w:r>
            <w:r w:rsidRPr="003B726C">
              <w:rPr>
                <w:rFonts w:hint="eastAsia"/>
              </w:rPr>
              <w:t xml:space="preserve">coronaria izquierda </w:t>
            </w:r>
            <w:r w:rsidRPr="003B726C">
              <w:rPr>
                <w:rFonts w:cs="Tahoma"/>
              </w:rPr>
              <w:t>≥</w:t>
            </w:r>
            <w:r w:rsidRPr="003B726C">
              <w:t> </w:t>
            </w:r>
            <w:r w:rsidRPr="003B726C">
              <w:rPr>
                <w:rFonts w:hint="eastAsia"/>
              </w:rPr>
              <w:t>50% (s</w:t>
            </w:r>
            <w:r w:rsidRPr="003B726C">
              <w:rPr>
                <w:rFonts w:hint="eastAsia"/>
              </w:rPr>
              <w:t>í</w:t>
            </w:r>
            <w:r w:rsidRPr="003B726C">
              <w:rPr>
                <w:rFonts w:hint="eastAsia"/>
              </w:rPr>
              <w:t>/no)</w:t>
            </w:r>
          </w:p>
          <w:p w14:paraId="3740F31B" w14:textId="77777777" w:rsidR="007769F5" w:rsidRPr="003B726C" w:rsidRDefault="007769F5" w:rsidP="00173734">
            <w:r w:rsidRPr="003B726C">
              <w:rPr>
                <w:rFonts w:hint="eastAsia"/>
              </w:rPr>
              <w:t xml:space="preserve">  </w:t>
            </w:r>
            <w:r w:rsidRPr="003B726C">
              <w:t xml:space="preserve">Tipo de </w:t>
            </w:r>
            <w:proofErr w:type="spellStart"/>
            <w:r w:rsidRPr="003B726C">
              <w:rPr>
                <w:i/>
              </w:rPr>
              <w:t>stent</w:t>
            </w:r>
            <w:proofErr w:type="spellEnd"/>
            <w:r w:rsidRPr="003B726C">
              <w:t xml:space="preserve"> (metálico o </w:t>
            </w:r>
            <w:proofErr w:type="spellStart"/>
            <w:r w:rsidRPr="003B726C">
              <w:t>farmacoactivo</w:t>
            </w:r>
            <w:proofErr w:type="spellEnd"/>
            <w:r w:rsidRPr="003B726C">
              <w:t>)</w:t>
            </w:r>
          </w:p>
          <w:p w14:paraId="51BB33FD" w14:textId="77777777" w:rsidR="007769F5" w:rsidRPr="003B726C" w:rsidRDefault="007769F5" w:rsidP="00173734">
            <w:r w:rsidRPr="003B726C">
              <w:t xml:space="preserve">  Tipo de </w:t>
            </w:r>
            <w:proofErr w:type="spellStart"/>
            <w:r w:rsidRPr="003B726C">
              <w:rPr>
                <w:i/>
              </w:rPr>
              <w:t>stent</w:t>
            </w:r>
            <w:proofErr w:type="spellEnd"/>
            <w:r w:rsidRPr="003B726C">
              <w:t xml:space="preserve"> </w:t>
            </w:r>
            <w:proofErr w:type="spellStart"/>
            <w:r w:rsidRPr="003B726C">
              <w:t>farmacoactivo</w:t>
            </w:r>
            <w:proofErr w:type="spellEnd"/>
            <w:r w:rsidRPr="003B726C">
              <w:t xml:space="preserve"> (variable nominal)</w:t>
            </w:r>
          </w:p>
          <w:p w14:paraId="15C6614E" w14:textId="77777777" w:rsidR="007769F5" w:rsidRPr="003B726C" w:rsidRDefault="007769F5" w:rsidP="00173734">
            <w:r w:rsidRPr="003B726C">
              <w:t xml:space="preserve">  Fecha de la intervención coronaria percutánea (variable fecha)</w:t>
            </w:r>
          </w:p>
          <w:p w14:paraId="768FB27E" w14:textId="77777777" w:rsidR="007769F5" w:rsidRPr="003B726C" w:rsidRDefault="007769F5" w:rsidP="00173734">
            <w:r w:rsidRPr="003B726C">
              <w:t xml:space="preserve">  Tipo de acceso (femoral/radial)</w:t>
            </w:r>
          </w:p>
          <w:p w14:paraId="01BF7EB8" w14:textId="77777777" w:rsidR="007769F5" w:rsidRPr="003B726C" w:rsidRDefault="007769F5" w:rsidP="00173734">
            <w:r w:rsidRPr="003B726C">
              <w:t xml:space="preserve">  Anticoagulación (heparina sódica/heparina de bajo peso molecular/</w:t>
            </w:r>
            <w:proofErr w:type="spellStart"/>
            <w:r w:rsidRPr="003B726C">
              <w:t>fondaparinux</w:t>
            </w:r>
            <w:proofErr w:type="spellEnd"/>
            <w:r w:rsidRPr="003B726C">
              <w:t>/</w:t>
            </w:r>
            <w:proofErr w:type="spellStart"/>
            <w:r w:rsidRPr="003B726C">
              <w:t>bivalirudina</w:t>
            </w:r>
            <w:proofErr w:type="spellEnd"/>
            <w:r w:rsidRPr="003B726C">
              <w:t>)</w:t>
            </w:r>
          </w:p>
          <w:p w14:paraId="2A6CFE89" w14:textId="77777777" w:rsidR="007769F5" w:rsidRPr="003B726C" w:rsidRDefault="007769F5" w:rsidP="00173734">
            <w:pPr>
              <w:rPr>
                <w:i/>
              </w:rPr>
            </w:pPr>
            <w:r w:rsidRPr="003B726C">
              <w:t xml:space="preserve">  Inhibidores de la glucoproteína </w:t>
            </w:r>
            <w:proofErr w:type="spellStart"/>
            <w:r w:rsidRPr="003B726C">
              <w:t>IIb</w:t>
            </w:r>
            <w:proofErr w:type="spellEnd"/>
            <w:r w:rsidRPr="003B726C">
              <w:t>/</w:t>
            </w:r>
            <w:proofErr w:type="spellStart"/>
            <w:r w:rsidRPr="003B726C">
              <w:t>IIIa</w:t>
            </w:r>
            <w:proofErr w:type="spellEnd"/>
            <w:r w:rsidRPr="003B726C">
              <w:t xml:space="preserve"> (sí/no)</w:t>
            </w:r>
          </w:p>
        </w:tc>
      </w:tr>
      <w:tr w:rsidR="007769F5" w:rsidRPr="003B726C" w14:paraId="0E7F3DED" w14:textId="77777777" w:rsidTr="00173734">
        <w:trPr>
          <w:trHeight w:val="3526"/>
        </w:trPr>
        <w:tc>
          <w:tcPr>
            <w:tcW w:w="0" w:type="auto"/>
          </w:tcPr>
          <w:p w14:paraId="301DBE61" w14:textId="77777777" w:rsidR="007769F5" w:rsidRPr="003B726C" w:rsidRDefault="007769F5" w:rsidP="00173734">
            <w:pPr>
              <w:rPr>
                <w:i/>
              </w:rPr>
            </w:pPr>
            <w:r w:rsidRPr="003B726C">
              <w:rPr>
                <w:i/>
              </w:rPr>
              <w:t>Eventos hospitalarios</w:t>
            </w:r>
          </w:p>
          <w:p w14:paraId="001D5C32" w14:textId="77777777" w:rsidR="007769F5" w:rsidRPr="003B726C" w:rsidRDefault="007769F5" w:rsidP="00173734">
            <w:r w:rsidRPr="003B726C">
              <w:t xml:space="preserve">  Hemorragia durante el ingreso (sí/no; clasificación BARC </w:t>
            </w:r>
            <w:r w:rsidRPr="003B726C">
              <w:rPr>
                <w:i/>
              </w:rPr>
              <w:t>[</w:t>
            </w:r>
            <w:proofErr w:type="spellStart"/>
            <w:r w:rsidRPr="003B726C">
              <w:rPr>
                <w:i/>
              </w:rPr>
              <w:t>Bleeding</w:t>
            </w:r>
            <w:proofErr w:type="spellEnd"/>
            <w:r w:rsidRPr="003B726C">
              <w:rPr>
                <w:i/>
              </w:rPr>
              <w:t xml:space="preserve"> </w:t>
            </w:r>
            <w:proofErr w:type="spellStart"/>
            <w:r w:rsidRPr="003B726C">
              <w:rPr>
                <w:i/>
              </w:rPr>
              <w:t>Academic</w:t>
            </w:r>
            <w:proofErr w:type="spellEnd"/>
            <w:r w:rsidRPr="003B726C">
              <w:rPr>
                <w:i/>
              </w:rPr>
              <w:t xml:space="preserve"> </w:t>
            </w:r>
            <w:proofErr w:type="spellStart"/>
            <w:r w:rsidRPr="003B726C">
              <w:rPr>
                <w:i/>
              </w:rPr>
              <w:t>Research</w:t>
            </w:r>
            <w:proofErr w:type="spellEnd"/>
            <w:r w:rsidRPr="003B726C">
              <w:rPr>
                <w:i/>
              </w:rPr>
              <w:t xml:space="preserve"> </w:t>
            </w:r>
            <w:proofErr w:type="spellStart"/>
            <w:r w:rsidRPr="003B726C">
              <w:rPr>
                <w:i/>
              </w:rPr>
              <w:t>Consortium</w:t>
            </w:r>
            <w:proofErr w:type="spellEnd"/>
            <w:r w:rsidRPr="003B726C">
              <w:rPr>
                <w:i/>
              </w:rPr>
              <w:t>]</w:t>
            </w:r>
            <w:r w:rsidRPr="003B726C">
              <w:t>)</w:t>
            </w:r>
          </w:p>
          <w:p w14:paraId="01668C30" w14:textId="77777777" w:rsidR="007769F5" w:rsidRPr="003B726C" w:rsidRDefault="007769F5" w:rsidP="00173734">
            <w:r w:rsidRPr="003B726C">
              <w:t xml:space="preserve">  Infarto agudo de miocardio durante el ingreso (elevación de </w:t>
            </w:r>
            <w:proofErr w:type="spellStart"/>
            <w:r w:rsidRPr="003B726C">
              <w:t>troponina</w:t>
            </w:r>
            <w:proofErr w:type="spellEnd"/>
            <w:r w:rsidRPr="003B726C">
              <w:t xml:space="preserve"> ± clínica o cambios electrocardiográficos)</w:t>
            </w:r>
          </w:p>
          <w:p w14:paraId="561CAC62" w14:textId="77777777" w:rsidR="007769F5" w:rsidRPr="003B726C" w:rsidRDefault="007769F5" w:rsidP="00173734">
            <w:r w:rsidRPr="003B726C">
              <w:t xml:space="preserve">  Ictus isquémico durante el ingreso (sí/no)</w:t>
            </w:r>
          </w:p>
          <w:p w14:paraId="250E147E" w14:textId="77777777" w:rsidR="007769F5" w:rsidRPr="003B726C" w:rsidRDefault="007769F5" w:rsidP="00173734">
            <w:r w:rsidRPr="003B726C">
              <w:t xml:space="preserve">  Fibrilación auricular durante el ingreso (sí/no)</w:t>
            </w:r>
          </w:p>
          <w:p w14:paraId="2834D940" w14:textId="77777777" w:rsidR="007769F5" w:rsidRPr="003B726C" w:rsidRDefault="007769F5" w:rsidP="00173734">
            <w:pPr>
              <w:rPr>
                <w:i/>
              </w:rPr>
            </w:pPr>
            <w:r w:rsidRPr="003B726C">
              <w:t xml:space="preserve">  Fracción de eyección del ventrículo izquierdo antes del alta (variable continua; %)</w:t>
            </w:r>
          </w:p>
        </w:tc>
      </w:tr>
      <w:tr w:rsidR="007769F5" w:rsidRPr="003B726C" w14:paraId="439A096B" w14:textId="77777777" w:rsidTr="00173734">
        <w:trPr>
          <w:trHeight w:val="2213"/>
        </w:trPr>
        <w:tc>
          <w:tcPr>
            <w:tcW w:w="0" w:type="auto"/>
          </w:tcPr>
          <w:p w14:paraId="42776020" w14:textId="77777777" w:rsidR="007769F5" w:rsidRPr="003B726C" w:rsidRDefault="007769F5" w:rsidP="00173734">
            <w:pPr>
              <w:rPr>
                <w:i/>
              </w:rPr>
            </w:pPr>
            <w:r w:rsidRPr="003B726C">
              <w:rPr>
                <w:i/>
              </w:rPr>
              <w:t>Tratamiento al alta</w:t>
            </w:r>
          </w:p>
          <w:p w14:paraId="78AF79D9" w14:textId="77777777" w:rsidR="007769F5" w:rsidRPr="003B726C" w:rsidRDefault="007769F5" w:rsidP="00173734">
            <w:r w:rsidRPr="003B726C">
              <w:t xml:space="preserve">  Ácido acetilsalicílico al alta (sí/no)</w:t>
            </w:r>
          </w:p>
          <w:p w14:paraId="7EE26BF2" w14:textId="77777777" w:rsidR="007769F5" w:rsidRPr="003B726C" w:rsidRDefault="007769F5" w:rsidP="00173734">
            <w:r w:rsidRPr="003B726C">
              <w:t xml:space="preserve">  </w:t>
            </w:r>
            <w:proofErr w:type="spellStart"/>
            <w:r w:rsidRPr="003B726C">
              <w:t>Ticagrelor</w:t>
            </w:r>
            <w:proofErr w:type="spellEnd"/>
            <w:r w:rsidRPr="003B726C">
              <w:t xml:space="preserve"> al alta (sí/no)</w:t>
            </w:r>
          </w:p>
          <w:p w14:paraId="4F541554" w14:textId="77777777" w:rsidR="007769F5" w:rsidRPr="003B726C" w:rsidRDefault="007769F5" w:rsidP="00173734">
            <w:r w:rsidRPr="003B726C">
              <w:t xml:space="preserve">  </w:t>
            </w:r>
            <w:proofErr w:type="spellStart"/>
            <w:r w:rsidRPr="003B726C">
              <w:t>Prasugrel</w:t>
            </w:r>
            <w:proofErr w:type="spellEnd"/>
            <w:r w:rsidRPr="003B726C">
              <w:t xml:space="preserve"> al alta (sí/no)</w:t>
            </w:r>
          </w:p>
          <w:p w14:paraId="67C31F70" w14:textId="77777777" w:rsidR="007769F5" w:rsidRPr="003B726C" w:rsidRDefault="007769F5" w:rsidP="00173734">
            <w:pPr>
              <w:rPr>
                <w:i/>
              </w:rPr>
            </w:pPr>
            <w:r w:rsidRPr="003B726C">
              <w:t xml:space="preserve">  Anticoagulación al alta (sí/no)</w:t>
            </w:r>
          </w:p>
        </w:tc>
      </w:tr>
      <w:tr w:rsidR="007769F5" w:rsidRPr="003B726C" w14:paraId="1736503B" w14:textId="77777777" w:rsidTr="00173734">
        <w:trPr>
          <w:trHeight w:val="7547"/>
        </w:trPr>
        <w:tc>
          <w:tcPr>
            <w:tcW w:w="0" w:type="auto"/>
          </w:tcPr>
          <w:p w14:paraId="07681FC6" w14:textId="77777777" w:rsidR="007769F5" w:rsidRPr="003B726C" w:rsidRDefault="007769F5" w:rsidP="00173734">
            <w:pPr>
              <w:rPr>
                <w:i/>
              </w:rPr>
            </w:pPr>
            <w:r w:rsidRPr="003B726C">
              <w:rPr>
                <w:i/>
              </w:rPr>
              <w:lastRenderedPageBreak/>
              <w:t>Seguimiento</w:t>
            </w:r>
          </w:p>
          <w:p w14:paraId="4097907F" w14:textId="77777777" w:rsidR="007769F5" w:rsidRPr="003B726C" w:rsidRDefault="007769F5" w:rsidP="00173734">
            <w:r w:rsidRPr="003B726C">
              <w:t xml:space="preserve">  Fecha del último seguimiento (variable fecha)</w:t>
            </w:r>
          </w:p>
          <w:p w14:paraId="118F405D" w14:textId="77777777" w:rsidR="007769F5" w:rsidRPr="003B726C" w:rsidRDefault="007769F5" w:rsidP="00173734">
            <w:r w:rsidRPr="003B726C">
              <w:t xml:space="preserve">  Muerte (sí/no)</w:t>
            </w:r>
          </w:p>
          <w:p w14:paraId="3FA4FCA9" w14:textId="77777777" w:rsidR="007769F5" w:rsidRPr="003B726C" w:rsidRDefault="007769F5" w:rsidP="00173734">
            <w:r w:rsidRPr="003B726C">
              <w:t xml:space="preserve">  Causa de muerte (variable nominal)</w:t>
            </w:r>
          </w:p>
          <w:p w14:paraId="377DC72C" w14:textId="77777777" w:rsidR="007769F5" w:rsidRPr="003B726C" w:rsidRDefault="007769F5" w:rsidP="00173734">
            <w:r w:rsidRPr="003B726C">
              <w:t xml:space="preserve">  Fecha de muerte (variable fecha)</w:t>
            </w:r>
          </w:p>
          <w:p w14:paraId="6F4EAC69" w14:textId="77777777" w:rsidR="007769F5" w:rsidRPr="003B726C" w:rsidRDefault="007769F5" w:rsidP="00173734">
            <w:r w:rsidRPr="003B726C">
              <w:t xml:space="preserve">  Hemorragia durante el seguimiento (clasificación BARC)</w:t>
            </w:r>
          </w:p>
          <w:p w14:paraId="383938A6" w14:textId="77777777" w:rsidR="007769F5" w:rsidRPr="003B726C" w:rsidRDefault="007769F5" w:rsidP="00173734">
            <w:r w:rsidRPr="003B726C">
              <w:t xml:space="preserve">  Fecha de la hemorragia (variable fecha)</w:t>
            </w:r>
          </w:p>
          <w:p w14:paraId="063EFF91" w14:textId="77777777" w:rsidR="007769F5" w:rsidRPr="003B726C" w:rsidRDefault="007769F5" w:rsidP="00173734">
            <w:r w:rsidRPr="003B726C">
              <w:t xml:space="preserve">  Reingreso por síndrome coronario agudo durante el seguimiento (sí/no)</w:t>
            </w:r>
          </w:p>
          <w:p w14:paraId="39DF0730" w14:textId="77777777" w:rsidR="007769F5" w:rsidRPr="003B726C" w:rsidRDefault="007769F5" w:rsidP="00173734">
            <w:r w:rsidRPr="003B726C">
              <w:t xml:space="preserve">  Fecha de reingreso por síndrome coronario (variable fecha)</w:t>
            </w:r>
          </w:p>
          <w:p w14:paraId="3C23880A" w14:textId="77777777" w:rsidR="007769F5" w:rsidRPr="003B726C" w:rsidRDefault="007769F5" w:rsidP="00173734">
            <w:r w:rsidRPr="003B726C">
              <w:t xml:space="preserve">  </w:t>
            </w:r>
            <w:proofErr w:type="spellStart"/>
            <w:r w:rsidRPr="003B726C">
              <w:t>Reinfarto</w:t>
            </w:r>
            <w:proofErr w:type="spellEnd"/>
            <w:r w:rsidRPr="003B726C">
              <w:t xml:space="preserve"> durante el seguimiento (sí/no)</w:t>
            </w:r>
          </w:p>
          <w:p w14:paraId="3A26CC0A" w14:textId="77777777" w:rsidR="007769F5" w:rsidRPr="003B726C" w:rsidRDefault="007769F5" w:rsidP="00173734">
            <w:r w:rsidRPr="003B726C">
              <w:t xml:space="preserve">  Fecha del </w:t>
            </w:r>
            <w:proofErr w:type="spellStart"/>
            <w:r w:rsidRPr="003B726C">
              <w:t>reinfarto</w:t>
            </w:r>
            <w:proofErr w:type="spellEnd"/>
            <w:r w:rsidRPr="003B726C">
              <w:t xml:space="preserve"> (variable fecha)</w:t>
            </w:r>
          </w:p>
          <w:p w14:paraId="7D6E5E64" w14:textId="77777777" w:rsidR="007769F5" w:rsidRPr="003B726C" w:rsidRDefault="007769F5" w:rsidP="00173734">
            <w:r w:rsidRPr="003B726C">
              <w:t xml:space="preserve">  Trombosis del </w:t>
            </w:r>
            <w:proofErr w:type="spellStart"/>
            <w:r w:rsidRPr="003B726C">
              <w:rPr>
                <w:i/>
              </w:rPr>
              <w:t>stent</w:t>
            </w:r>
            <w:proofErr w:type="spellEnd"/>
            <w:r w:rsidRPr="003B726C">
              <w:t xml:space="preserve"> durante seguimiento (sí/no)</w:t>
            </w:r>
          </w:p>
          <w:p w14:paraId="0E281C77" w14:textId="77777777" w:rsidR="007769F5" w:rsidRPr="003B726C" w:rsidRDefault="007769F5" w:rsidP="00173734">
            <w:r w:rsidRPr="003B726C">
              <w:t xml:space="preserve">  Fecha de la trombosis (variable fecha)</w:t>
            </w:r>
          </w:p>
          <w:p w14:paraId="33D8B7B4" w14:textId="77777777" w:rsidR="007769F5" w:rsidRPr="003B726C" w:rsidRDefault="007769F5" w:rsidP="00173734">
            <w:r w:rsidRPr="003B726C">
              <w:t xml:space="preserve">  Ictus durante el seguimiento (sí/no)</w:t>
            </w:r>
          </w:p>
          <w:p w14:paraId="1C0C5041" w14:textId="77777777" w:rsidR="007769F5" w:rsidRPr="003B726C" w:rsidRDefault="007769F5" w:rsidP="00173734">
            <w:r w:rsidRPr="003B726C">
              <w:t xml:space="preserve">  Fecha del ictus (variable fecha)</w:t>
            </w:r>
          </w:p>
          <w:p w14:paraId="1F6F9B9E" w14:textId="6B6155A7" w:rsidR="007769F5" w:rsidRPr="003B726C" w:rsidRDefault="007769F5" w:rsidP="00173734">
            <w:r w:rsidRPr="003B726C">
              <w:t xml:space="preserve">  Fecha de suspensión/cambio de </w:t>
            </w:r>
            <w:r w:rsidR="0092667A">
              <w:t xml:space="preserve">tratamiento </w:t>
            </w:r>
            <w:proofErr w:type="spellStart"/>
            <w:r w:rsidR="0092667A">
              <w:t>antiagregante</w:t>
            </w:r>
            <w:proofErr w:type="spellEnd"/>
            <w:r w:rsidR="0092667A">
              <w:t xml:space="preserve"> plaquetario doble</w:t>
            </w:r>
            <w:r w:rsidRPr="003B726C">
              <w:t xml:space="preserve"> (variable fecha)</w:t>
            </w:r>
          </w:p>
          <w:p w14:paraId="17B1B340" w14:textId="101FCFBF" w:rsidR="007769F5" w:rsidRPr="003B726C" w:rsidRDefault="007769F5" w:rsidP="00173734">
            <w:pPr>
              <w:rPr>
                <w:i/>
              </w:rPr>
            </w:pPr>
            <w:r w:rsidRPr="003B726C">
              <w:t xml:space="preserve">  Motivo de suspensión/cambio de </w:t>
            </w:r>
            <w:r w:rsidR="0092667A">
              <w:t xml:space="preserve">tratamiento </w:t>
            </w:r>
            <w:proofErr w:type="spellStart"/>
            <w:r w:rsidR="0092667A">
              <w:t>antiagregante</w:t>
            </w:r>
            <w:proofErr w:type="spellEnd"/>
            <w:r w:rsidR="0092667A">
              <w:t xml:space="preserve"> plaquetario doble</w:t>
            </w:r>
            <w:r w:rsidR="0092667A" w:rsidRPr="003B726C">
              <w:t xml:space="preserve"> </w:t>
            </w:r>
            <w:r w:rsidRPr="003B726C">
              <w:t>(variable nominal)</w:t>
            </w:r>
          </w:p>
        </w:tc>
      </w:tr>
    </w:tbl>
    <w:p w14:paraId="19B0A0D5" w14:textId="77777777" w:rsidR="007769F5" w:rsidRDefault="007769F5" w:rsidP="007769F5"/>
    <w:p w14:paraId="232369C9" w14:textId="77777777" w:rsidR="00DC4421" w:rsidRDefault="00DC4421">
      <w:pPr>
        <w:suppressAutoHyphens w:val="0"/>
        <w:spacing w:line="240" w:lineRule="auto"/>
      </w:pPr>
      <w:r>
        <w:br w:type="page"/>
      </w:r>
    </w:p>
    <w:p w14:paraId="1F43A6C8" w14:textId="40053733" w:rsidR="001C206A" w:rsidRPr="007769F5" w:rsidRDefault="00451C72" w:rsidP="007769F5">
      <w:pPr>
        <w:rPr>
          <w:b/>
        </w:rPr>
      </w:pPr>
      <w:r w:rsidRPr="007769F5">
        <w:rPr>
          <w:b/>
          <w:lang w:eastAsia="it-IT"/>
        </w:rPr>
        <w:lastRenderedPageBreak/>
        <w:t>Tabla 2 del material suplementario</w:t>
      </w:r>
    </w:p>
    <w:p w14:paraId="0161FB8F" w14:textId="4E6984F1" w:rsidR="001C206A" w:rsidRDefault="00451C72" w:rsidP="007769F5">
      <w:pPr>
        <w:rPr>
          <w:bCs/>
          <w:lang w:eastAsia="it-IT"/>
        </w:rPr>
      </w:pPr>
      <w:r>
        <w:rPr>
          <w:bCs/>
          <w:lang w:eastAsia="it-IT"/>
        </w:rPr>
        <w:t>Centros participantes en el registro RENAMI</w:t>
      </w:r>
    </w:p>
    <w:p w14:paraId="411DFA3A" w14:textId="77777777" w:rsidR="007769F5" w:rsidRDefault="007769F5" w:rsidP="007769F5"/>
    <w:tbl>
      <w:tblPr>
        <w:tblW w:w="0" w:type="auto"/>
        <w:tblInd w:w="-151" w:type="dxa"/>
        <w:tblLayout w:type="fixed"/>
        <w:tblCellMar>
          <w:top w:w="55" w:type="dxa"/>
          <w:left w:w="51" w:type="dxa"/>
          <w:bottom w:w="55" w:type="dxa"/>
          <w:right w:w="55" w:type="dxa"/>
        </w:tblCellMar>
        <w:tblLook w:val="0000" w:firstRow="0" w:lastRow="0" w:firstColumn="0" w:lastColumn="0" w:noHBand="0" w:noVBand="0"/>
      </w:tblPr>
      <w:tblGrid>
        <w:gridCol w:w="1560"/>
        <w:gridCol w:w="1735"/>
        <w:gridCol w:w="1667"/>
        <w:gridCol w:w="1417"/>
        <w:gridCol w:w="3129"/>
      </w:tblGrid>
      <w:tr w:rsidR="001C206A" w14:paraId="0939A493" w14:textId="77777777">
        <w:tc>
          <w:tcPr>
            <w:tcW w:w="1560" w:type="dxa"/>
            <w:tcBorders>
              <w:top w:val="single" w:sz="2" w:space="0" w:color="000001"/>
              <w:left w:val="single" w:sz="2" w:space="0" w:color="000001"/>
              <w:bottom w:val="single" w:sz="2" w:space="0" w:color="000001"/>
            </w:tcBorders>
            <w:shd w:val="clear" w:color="auto" w:fill="auto"/>
          </w:tcPr>
          <w:p w14:paraId="26FC5991" w14:textId="77777777" w:rsidR="001C206A" w:rsidRDefault="00451C72" w:rsidP="007769F5">
            <w:r>
              <w:rPr>
                <w:bCs/>
              </w:rPr>
              <w:t>País</w:t>
            </w:r>
          </w:p>
        </w:tc>
        <w:tc>
          <w:tcPr>
            <w:tcW w:w="1735" w:type="dxa"/>
            <w:tcBorders>
              <w:top w:val="single" w:sz="2" w:space="0" w:color="000001"/>
              <w:left w:val="single" w:sz="2" w:space="0" w:color="000001"/>
              <w:bottom w:val="single" w:sz="2" w:space="0" w:color="000001"/>
            </w:tcBorders>
            <w:shd w:val="clear" w:color="auto" w:fill="auto"/>
          </w:tcPr>
          <w:p w14:paraId="3A04E77E" w14:textId="77777777" w:rsidR="001C206A" w:rsidRDefault="00451C72" w:rsidP="007769F5">
            <w:pPr>
              <w:rPr>
                <w:bCs/>
              </w:rPr>
            </w:pPr>
            <w:r>
              <w:rPr>
                <w:bCs/>
              </w:rPr>
              <w:t>Centro</w:t>
            </w:r>
          </w:p>
        </w:tc>
        <w:tc>
          <w:tcPr>
            <w:tcW w:w="1667" w:type="dxa"/>
            <w:tcBorders>
              <w:top w:val="single" w:sz="2" w:space="0" w:color="000001"/>
              <w:left w:val="single" w:sz="2" w:space="0" w:color="000001"/>
              <w:bottom w:val="single" w:sz="2" w:space="0" w:color="000001"/>
            </w:tcBorders>
            <w:shd w:val="clear" w:color="auto" w:fill="auto"/>
          </w:tcPr>
          <w:p w14:paraId="6931AD9E" w14:textId="0001CFCE" w:rsidR="001C206A" w:rsidRDefault="007769F5" w:rsidP="007769F5">
            <w:r>
              <w:rPr>
                <w:bCs/>
              </w:rPr>
              <w:t>P</w:t>
            </w:r>
            <w:r w:rsidR="00451C72">
              <w:rPr>
                <w:bCs/>
              </w:rPr>
              <w:t>acientes</w:t>
            </w:r>
            <w:r>
              <w:rPr>
                <w:bCs/>
              </w:rPr>
              <w:t>, n</w:t>
            </w:r>
          </w:p>
        </w:tc>
        <w:tc>
          <w:tcPr>
            <w:tcW w:w="1417" w:type="dxa"/>
            <w:tcBorders>
              <w:top w:val="single" w:sz="2" w:space="0" w:color="000001"/>
              <w:left w:val="single" w:sz="2" w:space="0" w:color="000001"/>
              <w:bottom w:val="single" w:sz="2" w:space="0" w:color="000001"/>
            </w:tcBorders>
            <w:shd w:val="clear" w:color="auto" w:fill="auto"/>
          </w:tcPr>
          <w:p w14:paraId="31DE6AA7" w14:textId="77777777" w:rsidR="001C206A" w:rsidRDefault="00451C72" w:rsidP="007769F5">
            <w:r>
              <w:rPr>
                <w:bCs/>
              </w:rPr>
              <w:t>Años</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3CAE63DB" w14:textId="570AA622" w:rsidR="001C206A" w:rsidRDefault="007769F5" w:rsidP="007769F5">
            <w:proofErr w:type="spellStart"/>
            <w:r>
              <w:rPr>
                <w:bCs/>
              </w:rPr>
              <w:t>T</w:t>
            </w:r>
            <w:r w:rsidR="00451C72">
              <w:rPr>
                <w:bCs/>
              </w:rPr>
              <w:t>icagrelor</w:t>
            </w:r>
            <w:proofErr w:type="spellEnd"/>
            <w:r>
              <w:rPr>
                <w:bCs/>
              </w:rPr>
              <w:t xml:space="preserve"> frente a </w:t>
            </w:r>
            <w:proofErr w:type="spellStart"/>
            <w:r w:rsidR="00451C72">
              <w:rPr>
                <w:bCs/>
              </w:rPr>
              <w:t>prasugrel</w:t>
            </w:r>
            <w:proofErr w:type="spellEnd"/>
          </w:p>
        </w:tc>
      </w:tr>
      <w:tr w:rsidR="001C206A" w14:paraId="7EBE88AF" w14:textId="77777777">
        <w:trPr>
          <w:cantSplit/>
        </w:trPr>
        <w:tc>
          <w:tcPr>
            <w:tcW w:w="1560" w:type="dxa"/>
            <w:vMerge w:val="restart"/>
            <w:tcBorders>
              <w:top w:val="single" w:sz="2" w:space="0" w:color="000001"/>
              <w:left w:val="single" w:sz="2" w:space="0" w:color="000001"/>
              <w:bottom w:val="single" w:sz="2" w:space="0" w:color="000001"/>
            </w:tcBorders>
            <w:shd w:val="clear" w:color="auto" w:fill="auto"/>
            <w:vAlign w:val="center"/>
          </w:tcPr>
          <w:p w14:paraId="036B50FB" w14:textId="77777777" w:rsidR="001C206A" w:rsidRDefault="00451C72" w:rsidP="007769F5">
            <w:r>
              <w:t>España</w:t>
            </w:r>
          </w:p>
        </w:tc>
        <w:tc>
          <w:tcPr>
            <w:tcW w:w="1735" w:type="dxa"/>
            <w:tcBorders>
              <w:top w:val="single" w:sz="2" w:space="0" w:color="000001"/>
              <w:left w:val="single" w:sz="2" w:space="0" w:color="000001"/>
              <w:bottom w:val="single" w:sz="2" w:space="0" w:color="000001"/>
            </w:tcBorders>
            <w:shd w:val="clear" w:color="auto" w:fill="auto"/>
          </w:tcPr>
          <w:p w14:paraId="470E5BCA" w14:textId="4C438532"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0CE42D7A" w14:textId="77777777" w:rsidR="001C206A" w:rsidRDefault="00451C72" w:rsidP="007769F5">
            <w:r>
              <w:t>625</w:t>
            </w:r>
          </w:p>
        </w:tc>
        <w:tc>
          <w:tcPr>
            <w:tcW w:w="1417" w:type="dxa"/>
            <w:tcBorders>
              <w:top w:val="single" w:sz="2" w:space="0" w:color="000001"/>
              <w:left w:val="single" w:sz="2" w:space="0" w:color="000001"/>
              <w:bottom w:val="single" w:sz="2" w:space="0" w:color="000001"/>
            </w:tcBorders>
            <w:shd w:val="clear" w:color="auto" w:fill="auto"/>
          </w:tcPr>
          <w:p w14:paraId="28B153AD" w14:textId="77777777" w:rsidR="001C206A" w:rsidRDefault="00451C72" w:rsidP="007769F5">
            <w:r>
              <w:t>2013-2016</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35E3C9B9" w14:textId="74C285F2" w:rsidR="001C206A" w:rsidRDefault="007769F5" w:rsidP="007769F5">
            <w:r>
              <w:t xml:space="preserve">El </w:t>
            </w:r>
            <w:r w:rsidR="00451C72">
              <w:t>76,5 frente al 23,5%</w:t>
            </w:r>
          </w:p>
        </w:tc>
      </w:tr>
      <w:tr w:rsidR="001C206A" w14:paraId="5ECE3316" w14:textId="77777777">
        <w:trPr>
          <w:cantSplit/>
        </w:trPr>
        <w:tc>
          <w:tcPr>
            <w:tcW w:w="1560" w:type="dxa"/>
            <w:vMerge/>
            <w:tcBorders>
              <w:top w:val="single" w:sz="2" w:space="0" w:color="000001"/>
              <w:left w:val="single" w:sz="2" w:space="0" w:color="000001"/>
              <w:bottom w:val="single" w:sz="2" w:space="0" w:color="000001"/>
            </w:tcBorders>
            <w:shd w:val="clear" w:color="auto" w:fill="auto"/>
            <w:vAlign w:val="center"/>
          </w:tcPr>
          <w:p w14:paraId="6E8E908A" w14:textId="77777777" w:rsidR="001C206A" w:rsidRDefault="001C206A" w:rsidP="007769F5"/>
        </w:tc>
        <w:tc>
          <w:tcPr>
            <w:tcW w:w="1735" w:type="dxa"/>
            <w:tcBorders>
              <w:top w:val="single" w:sz="2" w:space="0" w:color="000001"/>
              <w:left w:val="single" w:sz="2" w:space="0" w:color="000001"/>
              <w:bottom w:val="single" w:sz="2" w:space="0" w:color="000001"/>
            </w:tcBorders>
            <w:shd w:val="clear" w:color="auto" w:fill="auto"/>
          </w:tcPr>
          <w:p w14:paraId="6E4BFEC8" w14:textId="5559B12B" w:rsidR="001C206A" w:rsidRDefault="00451C72" w:rsidP="007769F5">
            <w:r>
              <w:t>2</w:t>
            </w:r>
          </w:p>
        </w:tc>
        <w:tc>
          <w:tcPr>
            <w:tcW w:w="1667" w:type="dxa"/>
            <w:tcBorders>
              <w:top w:val="single" w:sz="2" w:space="0" w:color="000001"/>
              <w:left w:val="single" w:sz="2" w:space="0" w:color="000001"/>
              <w:bottom w:val="single" w:sz="2" w:space="0" w:color="000001"/>
            </w:tcBorders>
            <w:shd w:val="clear" w:color="auto" w:fill="auto"/>
          </w:tcPr>
          <w:p w14:paraId="747A3A36" w14:textId="77777777" w:rsidR="001C206A" w:rsidRDefault="00451C72" w:rsidP="007769F5">
            <w:r>
              <w:t>303</w:t>
            </w:r>
          </w:p>
        </w:tc>
        <w:tc>
          <w:tcPr>
            <w:tcW w:w="1417" w:type="dxa"/>
            <w:tcBorders>
              <w:top w:val="single" w:sz="2" w:space="0" w:color="000001"/>
              <w:left w:val="single" w:sz="2" w:space="0" w:color="000001"/>
              <w:bottom w:val="single" w:sz="2" w:space="0" w:color="000001"/>
            </w:tcBorders>
            <w:shd w:val="clear" w:color="auto" w:fill="auto"/>
          </w:tcPr>
          <w:p w14:paraId="101817B1" w14:textId="77777777" w:rsidR="001C206A" w:rsidRDefault="00451C72" w:rsidP="007769F5">
            <w:r>
              <w:t>2013-2015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07518E56" w14:textId="4F175BC9" w:rsidR="001C206A" w:rsidRDefault="007769F5" w:rsidP="007769F5">
            <w:r>
              <w:t xml:space="preserve">El </w:t>
            </w:r>
            <w:r w:rsidR="00451C72">
              <w:t>39,6 frente al 60,4%</w:t>
            </w:r>
          </w:p>
        </w:tc>
      </w:tr>
      <w:tr w:rsidR="001C206A" w14:paraId="2BC6B358" w14:textId="77777777">
        <w:trPr>
          <w:cantSplit/>
        </w:trPr>
        <w:tc>
          <w:tcPr>
            <w:tcW w:w="1560" w:type="dxa"/>
            <w:vMerge/>
            <w:tcBorders>
              <w:top w:val="single" w:sz="2" w:space="0" w:color="000001"/>
              <w:left w:val="single" w:sz="2" w:space="0" w:color="000001"/>
              <w:bottom w:val="single" w:sz="2" w:space="0" w:color="000001"/>
            </w:tcBorders>
            <w:shd w:val="clear" w:color="auto" w:fill="auto"/>
            <w:vAlign w:val="center"/>
          </w:tcPr>
          <w:p w14:paraId="278AB586" w14:textId="77777777" w:rsidR="001C206A" w:rsidRDefault="001C206A" w:rsidP="007769F5"/>
        </w:tc>
        <w:tc>
          <w:tcPr>
            <w:tcW w:w="1735" w:type="dxa"/>
            <w:tcBorders>
              <w:top w:val="single" w:sz="2" w:space="0" w:color="000001"/>
              <w:left w:val="single" w:sz="2" w:space="0" w:color="000001"/>
              <w:bottom w:val="single" w:sz="2" w:space="0" w:color="000001"/>
            </w:tcBorders>
            <w:shd w:val="clear" w:color="auto" w:fill="auto"/>
          </w:tcPr>
          <w:p w14:paraId="0F62AA0D" w14:textId="6CEEAEF0" w:rsidR="001C206A" w:rsidRDefault="00451C72" w:rsidP="007769F5">
            <w:r>
              <w:t>3</w:t>
            </w:r>
          </w:p>
        </w:tc>
        <w:tc>
          <w:tcPr>
            <w:tcW w:w="1667" w:type="dxa"/>
            <w:tcBorders>
              <w:top w:val="single" w:sz="2" w:space="0" w:color="000001"/>
              <w:left w:val="single" w:sz="2" w:space="0" w:color="000001"/>
              <w:bottom w:val="single" w:sz="2" w:space="0" w:color="000001"/>
            </w:tcBorders>
            <w:shd w:val="clear" w:color="auto" w:fill="auto"/>
          </w:tcPr>
          <w:p w14:paraId="57227C6E" w14:textId="77777777" w:rsidR="001C206A" w:rsidRDefault="00451C72" w:rsidP="007769F5">
            <w:r>
              <w:t>282</w:t>
            </w:r>
          </w:p>
        </w:tc>
        <w:tc>
          <w:tcPr>
            <w:tcW w:w="1417" w:type="dxa"/>
            <w:tcBorders>
              <w:top w:val="single" w:sz="2" w:space="0" w:color="000001"/>
              <w:left w:val="single" w:sz="2" w:space="0" w:color="000001"/>
              <w:bottom w:val="single" w:sz="2" w:space="0" w:color="000001"/>
            </w:tcBorders>
            <w:shd w:val="clear" w:color="auto" w:fill="auto"/>
          </w:tcPr>
          <w:p w14:paraId="610C5B48" w14:textId="77777777" w:rsidR="001C206A" w:rsidRDefault="00451C72" w:rsidP="007769F5">
            <w:r>
              <w:t>2013-2015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3216B266" w14:textId="024AD491" w:rsidR="001C206A" w:rsidRDefault="007769F5" w:rsidP="007769F5">
            <w:r>
              <w:t xml:space="preserve">El </w:t>
            </w:r>
            <w:r w:rsidR="00451C72">
              <w:t>51,15 frente al 48</w:t>
            </w:r>
            <w:r>
              <w:t>,</w:t>
            </w:r>
            <w:r w:rsidR="00451C72">
              <w:t>9%</w:t>
            </w:r>
          </w:p>
        </w:tc>
      </w:tr>
      <w:tr w:rsidR="001C206A" w14:paraId="39AE42FE" w14:textId="77777777">
        <w:tc>
          <w:tcPr>
            <w:tcW w:w="1560" w:type="dxa"/>
            <w:tcBorders>
              <w:top w:val="single" w:sz="2" w:space="0" w:color="000001"/>
              <w:left w:val="single" w:sz="2" w:space="0" w:color="000001"/>
              <w:bottom w:val="single" w:sz="2" w:space="0" w:color="000001"/>
            </w:tcBorders>
            <w:shd w:val="clear" w:color="auto" w:fill="auto"/>
            <w:vAlign w:val="center"/>
          </w:tcPr>
          <w:p w14:paraId="00DB0AF8" w14:textId="77777777" w:rsidR="001C206A" w:rsidRDefault="00451C72" w:rsidP="007769F5">
            <w:r>
              <w:t>Reino Unido</w:t>
            </w:r>
          </w:p>
        </w:tc>
        <w:tc>
          <w:tcPr>
            <w:tcW w:w="1735" w:type="dxa"/>
            <w:tcBorders>
              <w:top w:val="single" w:sz="2" w:space="0" w:color="000001"/>
              <w:left w:val="single" w:sz="2" w:space="0" w:color="000001"/>
              <w:bottom w:val="single" w:sz="2" w:space="0" w:color="000001"/>
            </w:tcBorders>
            <w:shd w:val="clear" w:color="auto" w:fill="auto"/>
          </w:tcPr>
          <w:p w14:paraId="6E4070F5" w14:textId="1BBA11BE"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393A4EEE" w14:textId="77777777" w:rsidR="001C206A" w:rsidRDefault="00451C72" w:rsidP="007769F5">
            <w:r>
              <w:t>641</w:t>
            </w:r>
          </w:p>
        </w:tc>
        <w:tc>
          <w:tcPr>
            <w:tcW w:w="1417" w:type="dxa"/>
            <w:tcBorders>
              <w:top w:val="single" w:sz="2" w:space="0" w:color="000001"/>
              <w:left w:val="single" w:sz="2" w:space="0" w:color="000001"/>
              <w:bottom w:val="single" w:sz="2" w:space="0" w:color="000001"/>
            </w:tcBorders>
            <w:shd w:val="clear" w:color="auto" w:fill="auto"/>
          </w:tcPr>
          <w:p w14:paraId="0CF2E372" w14:textId="77777777" w:rsidR="001C206A" w:rsidRDefault="00451C72" w:rsidP="007769F5">
            <w:r>
              <w:t>2013-2015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5D0C3DDE" w14:textId="19D9D52C" w:rsidR="001C206A" w:rsidRDefault="007769F5" w:rsidP="007769F5">
            <w:r>
              <w:t xml:space="preserve">El </w:t>
            </w:r>
            <w:r w:rsidR="00451C72">
              <w:t>19,5 frente al 80,5%</w:t>
            </w:r>
          </w:p>
        </w:tc>
      </w:tr>
      <w:tr w:rsidR="001C206A" w14:paraId="524DDA63" w14:textId="77777777">
        <w:tc>
          <w:tcPr>
            <w:tcW w:w="1560" w:type="dxa"/>
            <w:tcBorders>
              <w:top w:val="single" w:sz="2" w:space="0" w:color="000001"/>
              <w:left w:val="single" w:sz="2" w:space="0" w:color="000001"/>
              <w:bottom w:val="single" w:sz="2" w:space="0" w:color="000001"/>
            </w:tcBorders>
            <w:shd w:val="clear" w:color="auto" w:fill="auto"/>
            <w:vAlign w:val="center"/>
          </w:tcPr>
          <w:p w14:paraId="6D4CDFD7" w14:textId="77777777" w:rsidR="001C206A" w:rsidRDefault="00451C72" w:rsidP="007769F5">
            <w:r>
              <w:t>Suiza</w:t>
            </w:r>
          </w:p>
        </w:tc>
        <w:tc>
          <w:tcPr>
            <w:tcW w:w="1735" w:type="dxa"/>
            <w:tcBorders>
              <w:top w:val="single" w:sz="2" w:space="0" w:color="000001"/>
              <w:left w:val="single" w:sz="2" w:space="0" w:color="000001"/>
              <w:bottom w:val="single" w:sz="2" w:space="0" w:color="000001"/>
            </w:tcBorders>
            <w:shd w:val="clear" w:color="auto" w:fill="auto"/>
          </w:tcPr>
          <w:p w14:paraId="39342594" w14:textId="4C4776DF"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20927CF4" w14:textId="77777777" w:rsidR="001C206A" w:rsidRDefault="00451C72" w:rsidP="007769F5">
            <w:r>
              <w:t>415</w:t>
            </w:r>
          </w:p>
        </w:tc>
        <w:tc>
          <w:tcPr>
            <w:tcW w:w="1417" w:type="dxa"/>
            <w:tcBorders>
              <w:top w:val="single" w:sz="2" w:space="0" w:color="000001"/>
              <w:left w:val="single" w:sz="2" w:space="0" w:color="000001"/>
              <w:bottom w:val="single" w:sz="2" w:space="0" w:color="000001"/>
            </w:tcBorders>
            <w:shd w:val="clear" w:color="auto" w:fill="auto"/>
          </w:tcPr>
          <w:p w14:paraId="2ED05C7B" w14:textId="77777777" w:rsidR="001C206A" w:rsidRDefault="00451C72" w:rsidP="007769F5">
            <w:r>
              <w:t>2012-2015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0A78AB3C" w14:textId="54D3A80A" w:rsidR="001C206A" w:rsidRDefault="007769F5" w:rsidP="007769F5">
            <w:r>
              <w:t xml:space="preserve">El </w:t>
            </w:r>
            <w:r w:rsidR="00451C72">
              <w:t>60,0 frente al 40,0%</w:t>
            </w:r>
          </w:p>
        </w:tc>
      </w:tr>
      <w:tr w:rsidR="001C206A" w14:paraId="52FA53AC" w14:textId="77777777">
        <w:tc>
          <w:tcPr>
            <w:tcW w:w="1560" w:type="dxa"/>
            <w:tcBorders>
              <w:top w:val="single" w:sz="2" w:space="0" w:color="000001"/>
              <w:left w:val="single" w:sz="2" w:space="0" w:color="000001"/>
              <w:bottom w:val="single" w:sz="2" w:space="0" w:color="000001"/>
            </w:tcBorders>
            <w:shd w:val="clear" w:color="auto" w:fill="auto"/>
            <w:vAlign w:val="center"/>
          </w:tcPr>
          <w:p w14:paraId="0FBFEDA5" w14:textId="77777777" w:rsidR="001C206A" w:rsidRDefault="00451C72" w:rsidP="007769F5">
            <w:r>
              <w:t>Serbia</w:t>
            </w:r>
          </w:p>
        </w:tc>
        <w:tc>
          <w:tcPr>
            <w:tcW w:w="1735" w:type="dxa"/>
            <w:tcBorders>
              <w:top w:val="single" w:sz="2" w:space="0" w:color="000001"/>
              <w:left w:val="single" w:sz="2" w:space="0" w:color="000001"/>
              <w:bottom w:val="single" w:sz="2" w:space="0" w:color="000001"/>
            </w:tcBorders>
            <w:shd w:val="clear" w:color="auto" w:fill="auto"/>
          </w:tcPr>
          <w:p w14:paraId="510C9913" w14:textId="6CA82279"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6B594857" w14:textId="77777777" w:rsidR="001C206A" w:rsidRDefault="00451C72" w:rsidP="007769F5">
            <w:r>
              <w:t>338</w:t>
            </w:r>
          </w:p>
        </w:tc>
        <w:tc>
          <w:tcPr>
            <w:tcW w:w="1417" w:type="dxa"/>
            <w:tcBorders>
              <w:top w:val="single" w:sz="2" w:space="0" w:color="000001"/>
              <w:left w:val="single" w:sz="2" w:space="0" w:color="000001"/>
              <w:bottom w:val="single" w:sz="2" w:space="0" w:color="000001"/>
            </w:tcBorders>
            <w:shd w:val="clear" w:color="auto" w:fill="auto"/>
          </w:tcPr>
          <w:p w14:paraId="5B3914A9" w14:textId="77777777" w:rsidR="001C206A" w:rsidRDefault="00451C72" w:rsidP="007769F5">
            <w:r>
              <w:t>2013-2015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37DA7654" w14:textId="56E2642B" w:rsidR="001C206A" w:rsidRDefault="007769F5" w:rsidP="007769F5">
            <w:r>
              <w:t xml:space="preserve">El </w:t>
            </w:r>
            <w:r w:rsidR="00451C72">
              <w:t>99,4 frente al 0,6%</w:t>
            </w:r>
          </w:p>
        </w:tc>
      </w:tr>
      <w:tr w:rsidR="001C206A" w14:paraId="01F6EA2E" w14:textId="77777777">
        <w:tc>
          <w:tcPr>
            <w:tcW w:w="1560" w:type="dxa"/>
            <w:tcBorders>
              <w:top w:val="single" w:sz="2" w:space="0" w:color="000001"/>
              <w:left w:val="single" w:sz="2" w:space="0" w:color="000001"/>
              <w:bottom w:val="single" w:sz="2" w:space="0" w:color="000001"/>
            </w:tcBorders>
            <w:shd w:val="clear" w:color="auto" w:fill="auto"/>
            <w:vAlign w:val="center"/>
          </w:tcPr>
          <w:p w14:paraId="6868E18C" w14:textId="77777777" w:rsidR="001C206A" w:rsidRDefault="00451C72" w:rsidP="007769F5">
            <w:r>
              <w:t>Grecia</w:t>
            </w:r>
          </w:p>
        </w:tc>
        <w:tc>
          <w:tcPr>
            <w:tcW w:w="1735" w:type="dxa"/>
            <w:tcBorders>
              <w:top w:val="single" w:sz="2" w:space="0" w:color="000001"/>
              <w:left w:val="single" w:sz="2" w:space="0" w:color="000001"/>
              <w:bottom w:val="single" w:sz="2" w:space="0" w:color="000001"/>
            </w:tcBorders>
            <w:shd w:val="clear" w:color="auto" w:fill="auto"/>
          </w:tcPr>
          <w:p w14:paraId="1AA19F90" w14:textId="093F7784"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457319C6" w14:textId="77777777" w:rsidR="001C206A" w:rsidRDefault="00451C72" w:rsidP="007769F5">
            <w:r>
              <w:t>677</w:t>
            </w:r>
          </w:p>
        </w:tc>
        <w:tc>
          <w:tcPr>
            <w:tcW w:w="1417" w:type="dxa"/>
            <w:tcBorders>
              <w:top w:val="single" w:sz="2" w:space="0" w:color="000001"/>
              <w:left w:val="single" w:sz="2" w:space="0" w:color="000001"/>
              <w:bottom w:val="single" w:sz="2" w:space="0" w:color="000001"/>
            </w:tcBorders>
            <w:shd w:val="clear" w:color="auto" w:fill="auto"/>
          </w:tcPr>
          <w:p w14:paraId="6BB09F30" w14:textId="77777777" w:rsidR="001C206A" w:rsidRDefault="00451C72" w:rsidP="007769F5">
            <w:r>
              <w:t>2012-2013</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71D7E19B" w14:textId="4629ABF9" w:rsidR="001C206A" w:rsidRDefault="007769F5" w:rsidP="007769F5">
            <w:r>
              <w:t xml:space="preserve">El </w:t>
            </w:r>
            <w:r w:rsidR="00451C72">
              <w:t>53,3 frente al 46,7%</w:t>
            </w:r>
          </w:p>
        </w:tc>
      </w:tr>
      <w:tr w:rsidR="001C206A" w14:paraId="2CE3C9FB" w14:textId="77777777">
        <w:trPr>
          <w:cantSplit/>
        </w:trPr>
        <w:tc>
          <w:tcPr>
            <w:tcW w:w="1560" w:type="dxa"/>
            <w:vMerge w:val="restart"/>
            <w:tcBorders>
              <w:top w:val="single" w:sz="2" w:space="0" w:color="000001"/>
              <w:left w:val="single" w:sz="2" w:space="0" w:color="000001"/>
              <w:bottom w:val="single" w:sz="2" w:space="0" w:color="000001"/>
            </w:tcBorders>
            <w:shd w:val="clear" w:color="auto" w:fill="auto"/>
            <w:vAlign w:val="center"/>
          </w:tcPr>
          <w:p w14:paraId="7882855A" w14:textId="77777777" w:rsidR="001C206A" w:rsidRDefault="00451C72" w:rsidP="007769F5">
            <w:r>
              <w:t>Italia</w:t>
            </w:r>
          </w:p>
        </w:tc>
        <w:tc>
          <w:tcPr>
            <w:tcW w:w="1735" w:type="dxa"/>
            <w:tcBorders>
              <w:top w:val="single" w:sz="2" w:space="0" w:color="000001"/>
              <w:left w:val="single" w:sz="2" w:space="0" w:color="000001"/>
              <w:bottom w:val="single" w:sz="2" w:space="0" w:color="000001"/>
            </w:tcBorders>
            <w:shd w:val="clear" w:color="auto" w:fill="auto"/>
          </w:tcPr>
          <w:p w14:paraId="4242D911" w14:textId="62D8CAA8"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198E260A" w14:textId="77777777" w:rsidR="001C206A" w:rsidRDefault="00451C72" w:rsidP="007769F5">
            <w:r>
              <w:t>533</w:t>
            </w:r>
          </w:p>
        </w:tc>
        <w:tc>
          <w:tcPr>
            <w:tcW w:w="1417" w:type="dxa"/>
            <w:tcBorders>
              <w:top w:val="single" w:sz="2" w:space="0" w:color="000001"/>
              <w:left w:val="single" w:sz="2" w:space="0" w:color="000001"/>
              <w:bottom w:val="single" w:sz="2" w:space="0" w:color="000001"/>
            </w:tcBorders>
            <w:shd w:val="clear" w:color="auto" w:fill="auto"/>
          </w:tcPr>
          <w:p w14:paraId="7D55FE55" w14:textId="77777777" w:rsidR="001C206A" w:rsidRDefault="00451C72" w:rsidP="007769F5">
            <w:r>
              <w:t>2012-2015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670B05A0" w14:textId="47B74DF1" w:rsidR="001C206A" w:rsidRDefault="007769F5" w:rsidP="007769F5">
            <w:r>
              <w:t xml:space="preserve">El </w:t>
            </w:r>
            <w:r w:rsidR="00451C72">
              <w:t>94,6 frente al 5,4%</w:t>
            </w:r>
          </w:p>
        </w:tc>
      </w:tr>
      <w:tr w:rsidR="001C206A" w14:paraId="0E77808B" w14:textId="77777777">
        <w:trPr>
          <w:cantSplit/>
        </w:trPr>
        <w:tc>
          <w:tcPr>
            <w:tcW w:w="1560" w:type="dxa"/>
            <w:vMerge/>
            <w:tcBorders>
              <w:top w:val="single" w:sz="2" w:space="0" w:color="000001"/>
              <w:left w:val="single" w:sz="2" w:space="0" w:color="000001"/>
              <w:bottom w:val="single" w:sz="2" w:space="0" w:color="000001"/>
            </w:tcBorders>
            <w:shd w:val="clear" w:color="auto" w:fill="auto"/>
          </w:tcPr>
          <w:p w14:paraId="39C86984" w14:textId="77777777" w:rsidR="001C206A" w:rsidRDefault="001C206A" w:rsidP="007769F5"/>
        </w:tc>
        <w:tc>
          <w:tcPr>
            <w:tcW w:w="1735" w:type="dxa"/>
            <w:tcBorders>
              <w:top w:val="single" w:sz="2" w:space="0" w:color="000001"/>
              <w:left w:val="single" w:sz="2" w:space="0" w:color="000001"/>
              <w:bottom w:val="single" w:sz="2" w:space="0" w:color="000001"/>
            </w:tcBorders>
            <w:shd w:val="clear" w:color="auto" w:fill="auto"/>
          </w:tcPr>
          <w:p w14:paraId="5884C3CB" w14:textId="31E388B7"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78583096" w14:textId="77777777" w:rsidR="001C206A" w:rsidRDefault="00451C72" w:rsidP="007769F5">
            <w:r>
              <w:t>225</w:t>
            </w:r>
          </w:p>
        </w:tc>
        <w:tc>
          <w:tcPr>
            <w:tcW w:w="1417" w:type="dxa"/>
            <w:tcBorders>
              <w:top w:val="single" w:sz="2" w:space="0" w:color="000001"/>
              <w:left w:val="single" w:sz="2" w:space="0" w:color="000001"/>
              <w:bottom w:val="single" w:sz="2" w:space="0" w:color="000001"/>
            </w:tcBorders>
            <w:shd w:val="clear" w:color="auto" w:fill="auto"/>
          </w:tcPr>
          <w:p w14:paraId="6A4CF5A2" w14:textId="77777777" w:rsidR="001C206A" w:rsidRDefault="00451C72" w:rsidP="007769F5">
            <w:r>
              <w:t>2013-2015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25782D88" w14:textId="5E35F243" w:rsidR="001C206A" w:rsidRDefault="007769F5" w:rsidP="007769F5">
            <w:r>
              <w:t xml:space="preserve">El </w:t>
            </w:r>
            <w:r w:rsidR="00451C72">
              <w:t>68,9 frente al 31,1%</w:t>
            </w:r>
          </w:p>
        </w:tc>
      </w:tr>
      <w:tr w:rsidR="001C206A" w14:paraId="045D49C8" w14:textId="77777777">
        <w:trPr>
          <w:cantSplit/>
        </w:trPr>
        <w:tc>
          <w:tcPr>
            <w:tcW w:w="1560" w:type="dxa"/>
            <w:vMerge/>
            <w:tcBorders>
              <w:top w:val="single" w:sz="2" w:space="0" w:color="000001"/>
              <w:left w:val="single" w:sz="2" w:space="0" w:color="000001"/>
              <w:bottom w:val="single" w:sz="2" w:space="0" w:color="000001"/>
            </w:tcBorders>
            <w:shd w:val="clear" w:color="auto" w:fill="auto"/>
          </w:tcPr>
          <w:p w14:paraId="198B0893" w14:textId="77777777" w:rsidR="001C206A" w:rsidRDefault="001C206A" w:rsidP="007769F5"/>
        </w:tc>
        <w:tc>
          <w:tcPr>
            <w:tcW w:w="1735" w:type="dxa"/>
            <w:tcBorders>
              <w:top w:val="single" w:sz="2" w:space="0" w:color="000001"/>
              <w:left w:val="single" w:sz="2" w:space="0" w:color="000001"/>
              <w:bottom w:val="single" w:sz="2" w:space="0" w:color="000001"/>
            </w:tcBorders>
            <w:shd w:val="clear" w:color="auto" w:fill="auto"/>
          </w:tcPr>
          <w:p w14:paraId="05D4AC19" w14:textId="0100ADB9"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4ADAF381" w14:textId="77777777" w:rsidR="001C206A" w:rsidRDefault="00451C72" w:rsidP="007769F5">
            <w:r>
              <w:t>220</w:t>
            </w:r>
          </w:p>
        </w:tc>
        <w:tc>
          <w:tcPr>
            <w:tcW w:w="1417" w:type="dxa"/>
            <w:tcBorders>
              <w:top w:val="single" w:sz="2" w:space="0" w:color="000001"/>
              <w:left w:val="single" w:sz="2" w:space="0" w:color="000001"/>
              <w:bottom w:val="single" w:sz="2" w:space="0" w:color="000001"/>
            </w:tcBorders>
            <w:shd w:val="clear" w:color="auto" w:fill="auto"/>
          </w:tcPr>
          <w:p w14:paraId="4CBC6D16" w14:textId="77777777" w:rsidR="001C206A" w:rsidRDefault="00451C72" w:rsidP="007769F5">
            <w:r>
              <w:t>2013-2015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73B1BAEF" w14:textId="569BDAC4" w:rsidR="001C206A" w:rsidRDefault="007769F5" w:rsidP="007769F5">
            <w:r>
              <w:t xml:space="preserve">El </w:t>
            </w:r>
            <w:r w:rsidR="00451C72">
              <w:t>74,5 frente al 25,5%</w:t>
            </w:r>
          </w:p>
        </w:tc>
      </w:tr>
      <w:tr w:rsidR="001C206A" w14:paraId="0A85F5B2" w14:textId="77777777">
        <w:trPr>
          <w:cantSplit/>
        </w:trPr>
        <w:tc>
          <w:tcPr>
            <w:tcW w:w="1560" w:type="dxa"/>
            <w:vMerge/>
            <w:tcBorders>
              <w:top w:val="single" w:sz="2" w:space="0" w:color="000001"/>
              <w:left w:val="single" w:sz="2" w:space="0" w:color="000001"/>
              <w:bottom w:val="single" w:sz="2" w:space="0" w:color="000001"/>
            </w:tcBorders>
            <w:shd w:val="clear" w:color="auto" w:fill="auto"/>
          </w:tcPr>
          <w:p w14:paraId="09E420F3" w14:textId="77777777" w:rsidR="001C206A" w:rsidRDefault="001C206A" w:rsidP="007769F5"/>
        </w:tc>
        <w:tc>
          <w:tcPr>
            <w:tcW w:w="1735" w:type="dxa"/>
            <w:tcBorders>
              <w:top w:val="single" w:sz="2" w:space="0" w:color="000001"/>
              <w:left w:val="single" w:sz="2" w:space="0" w:color="000001"/>
              <w:bottom w:val="single" w:sz="2" w:space="0" w:color="000001"/>
            </w:tcBorders>
            <w:shd w:val="clear" w:color="auto" w:fill="auto"/>
          </w:tcPr>
          <w:p w14:paraId="0FD0D2F6" w14:textId="12155280" w:rsidR="001C206A" w:rsidRDefault="00451C72" w:rsidP="007769F5">
            <w:r>
              <w:t>1</w:t>
            </w:r>
          </w:p>
        </w:tc>
        <w:tc>
          <w:tcPr>
            <w:tcW w:w="1667" w:type="dxa"/>
            <w:tcBorders>
              <w:top w:val="single" w:sz="2" w:space="0" w:color="000001"/>
              <w:left w:val="single" w:sz="2" w:space="0" w:color="000001"/>
              <w:bottom w:val="single" w:sz="2" w:space="0" w:color="000001"/>
            </w:tcBorders>
            <w:shd w:val="clear" w:color="auto" w:fill="auto"/>
          </w:tcPr>
          <w:p w14:paraId="5939E22F" w14:textId="77777777" w:rsidR="001C206A" w:rsidRDefault="00451C72" w:rsidP="007769F5">
            <w:r>
              <w:t>165</w:t>
            </w:r>
          </w:p>
        </w:tc>
        <w:tc>
          <w:tcPr>
            <w:tcW w:w="1417" w:type="dxa"/>
            <w:tcBorders>
              <w:top w:val="single" w:sz="2" w:space="0" w:color="000001"/>
              <w:left w:val="single" w:sz="2" w:space="0" w:color="000001"/>
              <w:bottom w:val="single" w:sz="2" w:space="0" w:color="000001"/>
            </w:tcBorders>
            <w:shd w:val="clear" w:color="auto" w:fill="auto"/>
          </w:tcPr>
          <w:p w14:paraId="1CA71578" w14:textId="77777777" w:rsidR="001C206A" w:rsidRDefault="00451C72" w:rsidP="007769F5">
            <w:r>
              <w:t>2014-2015</w:t>
            </w:r>
          </w:p>
        </w:tc>
        <w:tc>
          <w:tcPr>
            <w:tcW w:w="3129" w:type="dxa"/>
            <w:tcBorders>
              <w:top w:val="single" w:sz="2" w:space="0" w:color="000001"/>
              <w:left w:val="single" w:sz="2" w:space="0" w:color="000001"/>
              <w:bottom w:val="single" w:sz="2" w:space="0" w:color="000001"/>
              <w:right w:val="single" w:sz="2" w:space="0" w:color="000001"/>
            </w:tcBorders>
            <w:shd w:val="clear" w:color="auto" w:fill="auto"/>
          </w:tcPr>
          <w:p w14:paraId="50EF61C0" w14:textId="342476A8" w:rsidR="001C206A" w:rsidRDefault="007769F5" w:rsidP="007769F5">
            <w:bookmarkStart w:id="2" w:name="_Hlk498212976"/>
            <w:bookmarkEnd w:id="2"/>
            <w:r>
              <w:t xml:space="preserve">El </w:t>
            </w:r>
            <w:r w:rsidR="00451C72">
              <w:t>53,9 frente al 46,1%</w:t>
            </w:r>
          </w:p>
        </w:tc>
      </w:tr>
    </w:tbl>
    <w:p w14:paraId="502F5334" w14:textId="77777777" w:rsidR="001C206A" w:rsidRDefault="001C206A" w:rsidP="007769F5"/>
    <w:p w14:paraId="4B6385E0" w14:textId="77777777" w:rsidR="007769F5" w:rsidRDefault="007769F5">
      <w:pPr>
        <w:suppressAutoHyphens w:val="0"/>
        <w:spacing w:line="240" w:lineRule="auto"/>
        <w:rPr>
          <w:lang w:eastAsia="it-IT"/>
        </w:rPr>
      </w:pPr>
      <w:r>
        <w:rPr>
          <w:lang w:eastAsia="it-IT"/>
        </w:rPr>
        <w:br w:type="page"/>
      </w:r>
    </w:p>
    <w:p w14:paraId="499A28A2" w14:textId="77777777" w:rsidR="007769F5" w:rsidRDefault="00451C72" w:rsidP="007769F5">
      <w:pPr>
        <w:rPr>
          <w:lang w:eastAsia="it-IT"/>
        </w:rPr>
      </w:pPr>
      <w:r w:rsidRPr="007769F5">
        <w:rPr>
          <w:b/>
          <w:lang w:eastAsia="it-IT"/>
        </w:rPr>
        <w:lastRenderedPageBreak/>
        <w:t>Tabla 3 del material suplementario</w:t>
      </w:r>
    </w:p>
    <w:p w14:paraId="4297CBCE" w14:textId="2314AAF5" w:rsidR="001C206A" w:rsidRDefault="00451C72" w:rsidP="007769F5">
      <w:pPr>
        <w:rPr>
          <w:bCs/>
          <w:color w:val="000000"/>
          <w:sz w:val="20"/>
          <w:szCs w:val="20"/>
          <w:lang w:eastAsia="it-IT"/>
        </w:rPr>
      </w:pPr>
      <w:r>
        <w:rPr>
          <w:lang w:eastAsia="it-IT"/>
        </w:rPr>
        <w:t xml:space="preserve">Análisis </w:t>
      </w:r>
      <w:proofErr w:type="spellStart"/>
      <w:r>
        <w:rPr>
          <w:lang w:eastAsia="it-IT"/>
        </w:rPr>
        <w:t>univaria</w:t>
      </w:r>
      <w:r w:rsidR="007769F5">
        <w:rPr>
          <w:lang w:eastAsia="it-IT"/>
        </w:rPr>
        <w:t>ble</w:t>
      </w:r>
      <w:proofErr w:type="spellEnd"/>
      <w:r>
        <w:rPr>
          <w:lang w:eastAsia="it-IT"/>
        </w:rPr>
        <w:t xml:space="preserve"> </w:t>
      </w:r>
      <w:r w:rsidR="007769F5">
        <w:rPr>
          <w:lang w:eastAsia="it-IT"/>
        </w:rPr>
        <w:t xml:space="preserve">de las </w:t>
      </w:r>
      <w:r>
        <w:rPr>
          <w:lang w:eastAsia="it-IT"/>
        </w:rPr>
        <w:t>trombosis de</w:t>
      </w:r>
      <w:r w:rsidR="007769F5">
        <w:rPr>
          <w:lang w:eastAsia="it-IT"/>
        </w:rPr>
        <w:t>l</w:t>
      </w:r>
      <w:r>
        <w:rPr>
          <w:lang w:eastAsia="it-IT"/>
        </w:rPr>
        <w:t xml:space="preserve"> </w:t>
      </w:r>
      <w:proofErr w:type="spellStart"/>
      <w:r>
        <w:rPr>
          <w:i/>
          <w:lang w:eastAsia="it-IT"/>
        </w:rPr>
        <w:t>stent</w:t>
      </w:r>
      <w:proofErr w:type="spellEnd"/>
      <w:r>
        <w:rPr>
          <w:i/>
          <w:lang w:eastAsia="it-IT"/>
        </w:rPr>
        <w:t xml:space="preserve"> </w:t>
      </w:r>
      <w:r w:rsidR="007769F5">
        <w:rPr>
          <w:lang w:eastAsia="it-IT"/>
        </w:rPr>
        <w:t xml:space="preserve">en </w:t>
      </w:r>
      <w:r>
        <w:rPr>
          <w:lang w:eastAsia="it-IT"/>
        </w:rPr>
        <w:t xml:space="preserve">el primer año </w:t>
      </w:r>
      <w:r w:rsidR="007769F5">
        <w:rPr>
          <w:lang w:eastAsia="it-IT"/>
        </w:rPr>
        <w:t xml:space="preserve">y </w:t>
      </w:r>
      <w:r>
        <w:rPr>
          <w:lang w:eastAsia="it-IT"/>
        </w:rPr>
        <w:t>en el primer mes</w:t>
      </w:r>
    </w:p>
    <w:p w14:paraId="6AEF36D1" w14:textId="77777777" w:rsidR="007769F5" w:rsidRDefault="007769F5" w:rsidP="007769F5"/>
    <w:tbl>
      <w:tblPr>
        <w:tblStyle w:val="TableGrid"/>
        <w:tblW w:w="10865" w:type="dxa"/>
        <w:tblInd w:w="-687" w:type="dxa"/>
        <w:tblLook w:val="04A0" w:firstRow="1" w:lastRow="0" w:firstColumn="1" w:lastColumn="0" w:noHBand="0" w:noVBand="1"/>
      </w:tblPr>
      <w:tblGrid>
        <w:gridCol w:w="4481"/>
        <w:gridCol w:w="682"/>
        <w:gridCol w:w="1300"/>
        <w:gridCol w:w="1134"/>
        <w:gridCol w:w="682"/>
        <w:gridCol w:w="1447"/>
        <w:gridCol w:w="1139"/>
      </w:tblGrid>
      <w:tr w:rsidR="007769F5" w:rsidRPr="00276EA7" w14:paraId="311939CD" w14:textId="77777777" w:rsidTr="00D83E9C">
        <w:tc>
          <w:tcPr>
            <w:tcW w:w="4481" w:type="dxa"/>
            <w:vMerge w:val="restart"/>
          </w:tcPr>
          <w:p w14:paraId="22EC3CC6" w14:textId="77777777" w:rsidR="007769F5" w:rsidRPr="00276EA7" w:rsidRDefault="007769F5" w:rsidP="00173734">
            <w:r w:rsidRPr="00276EA7">
              <w:t>Variables</w:t>
            </w:r>
          </w:p>
        </w:tc>
        <w:tc>
          <w:tcPr>
            <w:tcW w:w="3116" w:type="dxa"/>
            <w:gridSpan w:val="3"/>
          </w:tcPr>
          <w:p w14:paraId="5BE43213" w14:textId="77777777" w:rsidR="007769F5" w:rsidRPr="00276EA7" w:rsidRDefault="007769F5" w:rsidP="00173734">
            <w:r w:rsidRPr="00276EA7">
              <w:t>TS en el primer año</w:t>
            </w:r>
          </w:p>
        </w:tc>
        <w:tc>
          <w:tcPr>
            <w:tcW w:w="3268" w:type="dxa"/>
            <w:gridSpan w:val="3"/>
          </w:tcPr>
          <w:p w14:paraId="5C61DAF1" w14:textId="77777777" w:rsidR="007769F5" w:rsidRPr="00276EA7" w:rsidRDefault="007769F5" w:rsidP="00173734">
            <w:r w:rsidRPr="00276EA7">
              <w:t>TS en el primer mes</w:t>
            </w:r>
          </w:p>
        </w:tc>
      </w:tr>
      <w:tr w:rsidR="007769F5" w:rsidRPr="00276EA7" w14:paraId="6106C20A" w14:textId="77777777" w:rsidTr="00D83E9C">
        <w:tc>
          <w:tcPr>
            <w:tcW w:w="4481" w:type="dxa"/>
            <w:vMerge/>
          </w:tcPr>
          <w:p w14:paraId="2FCB36AE" w14:textId="77777777" w:rsidR="007769F5" w:rsidRPr="00276EA7" w:rsidRDefault="007769F5" w:rsidP="00173734"/>
        </w:tc>
        <w:tc>
          <w:tcPr>
            <w:tcW w:w="0" w:type="auto"/>
          </w:tcPr>
          <w:p w14:paraId="21FD7672" w14:textId="77777777" w:rsidR="007769F5" w:rsidRPr="00276EA7" w:rsidRDefault="007769F5" w:rsidP="00173734">
            <w:proofErr w:type="spellStart"/>
            <w:r w:rsidRPr="00276EA7">
              <w:t>sHR</w:t>
            </w:r>
            <w:proofErr w:type="spellEnd"/>
          </w:p>
        </w:tc>
        <w:tc>
          <w:tcPr>
            <w:tcW w:w="1300" w:type="dxa"/>
          </w:tcPr>
          <w:p w14:paraId="13B5C6F6" w14:textId="77777777" w:rsidR="007769F5" w:rsidRPr="00276EA7" w:rsidRDefault="007769F5" w:rsidP="00173734">
            <w:r w:rsidRPr="00276EA7">
              <w:t>IC95%</w:t>
            </w:r>
          </w:p>
        </w:tc>
        <w:tc>
          <w:tcPr>
            <w:tcW w:w="1134" w:type="dxa"/>
          </w:tcPr>
          <w:p w14:paraId="3F9E9326" w14:textId="77777777" w:rsidR="007769F5" w:rsidRPr="00276EA7" w:rsidRDefault="007769F5" w:rsidP="00173734">
            <w:r w:rsidRPr="00276EA7">
              <w:t>p</w:t>
            </w:r>
          </w:p>
        </w:tc>
        <w:tc>
          <w:tcPr>
            <w:tcW w:w="0" w:type="auto"/>
          </w:tcPr>
          <w:p w14:paraId="417FF318" w14:textId="77777777" w:rsidR="007769F5" w:rsidRPr="00276EA7" w:rsidRDefault="007769F5" w:rsidP="00173734">
            <w:proofErr w:type="spellStart"/>
            <w:r w:rsidRPr="00276EA7">
              <w:t>sHR</w:t>
            </w:r>
            <w:proofErr w:type="spellEnd"/>
          </w:p>
        </w:tc>
        <w:tc>
          <w:tcPr>
            <w:tcW w:w="1447" w:type="dxa"/>
          </w:tcPr>
          <w:p w14:paraId="649DB4D6" w14:textId="77777777" w:rsidR="007769F5" w:rsidRPr="00276EA7" w:rsidRDefault="007769F5" w:rsidP="00173734">
            <w:r w:rsidRPr="00276EA7">
              <w:t>IC95%</w:t>
            </w:r>
          </w:p>
        </w:tc>
        <w:tc>
          <w:tcPr>
            <w:tcW w:w="1139" w:type="dxa"/>
          </w:tcPr>
          <w:p w14:paraId="112F5CC6" w14:textId="77777777" w:rsidR="007769F5" w:rsidRPr="00276EA7" w:rsidRDefault="007769F5" w:rsidP="00173734">
            <w:r w:rsidRPr="00276EA7">
              <w:t>p</w:t>
            </w:r>
          </w:p>
        </w:tc>
      </w:tr>
      <w:tr w:rsidR="007769F5" w:rsidRPr="00276EA7" w14:paraId="22AF236B" w14:textId="77777777" w:rsidTr="00D83E9C">
        <w:tc>
          <w:tcPr>
            <w:tcW w:w="4481" w:type="dxa"/>
          </w:tcPr>
          <w:p w14:paraId="5B4ED69E" w14:textId="77777777" w:rsidR="007769F5" w:rsidRPr="00276EA7" w:rsidRDefault="007769F5" w:rsidP="00173734">
            <w:r w:rsidRPr="00276EA7">
              <w:t>Edad</w:t>
            </w:r>
          </w:p>
        </w:tc>
        <w:tc>
          <w:tcPr>
            <w:tcW w:w="0" w:type="auto"/>
          </w:tcPr>
          <w:p w14:paraId="7A8C5532" w14:textId="77777777" w:rsidR="007769F5" w:rsidRPr="00276EA7" w:rsidRDefault="007769F5" w:rsidP="00173734">
            <w:r w:rsidRPr="00276EA7">
              <w:t>1,03</w:t>
            </w:r>
          </w:p>
        </w:tc>
        <w:tc>
          <w:tcPr>
            <w:tcW w:w="1300" w:type="dxa"/>
          </w:tcPr>
          <w:p w14:paraId="74AD4B48" w14:textId="77777777" w:rsidR="007769F5" w:rsidRPr="00276EA7" w:rsidRDefault="007769F5" w:rsidP="00173734">
            <w:r w:rsidRPr="00276EA7">
              <w:t>1,01-1,05</w:t>
            </w:r>
          </w:p>
        </w:tc>
        <w:tc>
          <w:tcPr>
            <w:tcW w:w="1134" w:type="dxa"/>
          </w:tcPr>
          <w:p w14:paraId="372E0D8E" w14:textId="77777777" w:rsidR="007769F5" w:rsidRPr="00276EA7" w:rsidRDefault="007769F5" w:rsidP="00173734">
            <w:r w:rsidRPr="00276EA7">
              <w:t>&lt; 0,001</w:t>
            </w:r>
          </w:p>
        </w:tc>
        <w:tc>
          <w:tcPr>
            <w:tcW w:w="0" w:type="auto"/>
          </w:tcPr>
          <w:p w14:paraId="7CCAD8EC" w14:textId="77777777" w:rsidR="007769F5" w:rsidRPr="00276EA7" w:rsidRDefault="007769F5" w:rsidP="00173734">
            <w:r w:rsidRPr="00276EA7">
              <w:t>1,06</w:t>
            </w:r>
          </w:p>
        </w:tc>
        <w:tc>
          <w:tcPr>
            <w:tcW w:w="1447" w:type="dxa"/>
          </w:tcPr>
          <w:p w14:paraId="0CF0DBDC" w14:textId="77777777" w:rsidR="007769F5" w:rsidRPr="00276EA7" w:rsidRDefault="007769F5" w:rsidP="00173734">
            <w:r w:rsidRPr="00276EA7">
              <w:t>1,02-1,09</w:t>
            </w:r>
          </w:p>
        </w:tc>
        <w:tc>
          <w:tcPr>
            <w:tcW w:w="1139" w:type="dxa"/>
          </w:tcPr>
          <w:p w14:paraId="0F2F3FCC" w14:textId="77777777" w:rsidR="007769F5" w:rsidRPr="00276EA7" w:rsidRDefault="007769F5" w:rsidP="00173734">
            <w:r w:rsidRPr="00276EA7">
              <w:t>0,002</w:t>
            </w:r>
          </w:p>
        </w:tc>
      </w:tr>
      <w:tr w:rsidR="007769F5" w:rsidRPr="00276EA7" w14:paraId="44268B1E" w14:textId="77777777" w:rsidTr="00D83E9C">
        <w:tc>
          <w:tcPr>
            <w:tcW w:w="4481" w:type="dxa"/>
          </w:tcPr>
          <w:p w14:paraId="33EE7D17" w14:textId="77777777" w:rsidR="007769F5" w:rsidRPr="00276EA7" w:rsidRDefault="007769F5" w:rsidP="00173734">
            <w:r w:rsidRPr="00276EA7">
              <w:t>Sexo femenino</w:t>
            </w:r>
          </w:p>
        </w:tc>
        <w:tc>
          <w:tcPr>
            <w:tcW w:w="0" w:type="auto"/>
          </w:tcPr>
          <w:p w14:paraId="5F419E31" w14:textId="77777777" w:rsidR="007769F5" w:rsidRPr="00276EA7" w:rsidRDefault="007769F5" w:rsidP="00173734">
            <w:r w:rsidRPr="00276EA7">
              <w:t>0,96</w:t>
            </w:r>
          </w:p>
        </w:tc>
        <w:tc>
          <w:tcPr>
            <w:tcW w:w="1300" w:type="dxa"/>
          </w:tcPr>
          <w:p w14:paraId="735E9889" w14:textId="77777777" w:rsidR="007769F5" w:rsidRPr="00276EA7" w:rsidRDefault="007769F5" w:rsidP="00173734">
            <w:r w:rsidRPr="00276EA7">
              <w:t>0,66-1,40</w:t>
            </w:r>
          </w:p>
        </w:tc>
        <w:tc>
          <w:tcPr>
            <w:tcW w:w="1134" w:type="dxa"/>
          </w:tcPr>
          <w:p w14:paraId="0F0EBEB4" w14:textId="77777777" w:rsidR="007769F5" w:rsidRPr="00276EA7" w:rsidRDefault="007769F5" w:rsidP="00173734">
            <w:r w:rsidRPr="00276EA7">
              <w:t>0,844</w:t>
            </w:r>
          </w:p>
        </w:tc>
        <w:tc>
          <w:tcPr>
            <w:tcW w:w="0" w:type="auto"/>
          </w:tcPr>
          <w:p w14:paraId="43B6A77A" w14:textId="77777777" w:rsidR="007769F5" w:rsidRPr="00276EA7" w:rsidRDefault="007769F5" w:rsidP="00173734">
            <w:r w:rsidRPr="00276EA7">
              <w:t>1,02</w:t>
            </w:r>
          </w:p>
        </w:tc>
        <w:tc>
          <w:tcPr>
            <w:tcW w:w="1447" w:type="dxa"/>
          </w:tcPr>
          <w:p w14:paraId="5143D3FA" w14:textId="77777777" w:rsidR="007769F5" w:rsidRPr="00276EA7" w:rsidRDefault="007769F5" w:rsidP="00173734">
            <w:r w:rsidRPr="00276EA7">
              <w:t>0,58-1,80</w:t>
            </w:r>
          </w:p>
        </w:tc>
        <w:tc>
          <w:tcPr>
            <w:tcW w:w="1139" w:type="dxa"/>
          </w:tcPr>
          <w:p w14:paraId="322803CD" w14:textId="77777777" w:rsidR="007769F5" w:rsidRPr="00276EA7" w:rsidRDefault="007769F5" w:rsidP="00173734">
            <w:r w:rsidRPr="00276EA7">
              <w:t>0,946</w:t>
            </w:r>
          </w:p>
        </w:tc>
      </w:tr>
      <w:tr w:rsidR="007769F5" w:rsidRPr="00276EA7" w14:paraId="1BC8FF37" w14:textId="77777777" w:rsidTr="00D83E9C">
        <w:tc>
          <w:tcPr>
            <w:tcW w:w="4481" w:type="dxa"/>
          </w:tcPr>
          <w:p w14:paraId="15B3C7DB" w14:textId="77777777" w:rsidR="007769F5" w:rsidRPr="00276EA7" w:rsidRDefault="007769F5" w:rsidP="00173734">
            <w:r w:rsidRPr="00276EA7">
              <w:t>Hipertensión arterial</w:t>
            </w:r>
          </w:p>
        </w:tc>
        <w:tc>
          <w:tcPr>
            <w:tcW w:w="0" w:type="auto"/>
          </w:tcPr>
          <w:p w14:paraId="2D06DAC0" w14:textId="77777777" w:rsidR="007769F5" w:rsidRPr="00276EA7" w:rsidRDefault="007769F5" w:rsidP="00173734">
            <w:r w:rsidRPr="00276EA7">
              <w:t>1,44</w:t>
            </w:r>
          </w:p>
        </w:tc>
        <w:tc>
          <w:tcPr>
            <w:tcW w:w="1300" w:type="dxa"/>
          </w:tcPr>
          <w:p w14:paraId="7B02C872" w14:textId="77777777" w:rsidR="007769F5" w:rsidRPr="00276EA7" w:rsidRDefault="007769F5" w:rsidP="00173734">
            <w:r w:rsidRPr="00276EA7">
              <w:t>0,99-2,08</w:t>
            </w:r>
          </w:p>
        </w:tc>
        <w:tc>
          <w:tcPr>
            <w:tcW w:w="1134" w:type="dxa"/>
          </w:tcPr>
          <w:p w14:paraId="34D0AF4E" w14:textId="77777777" w:rsidR="007769F5" w:rsidRPr="00276EA7" w:rsidRDefault="007769F5" w:rsidP="00173734">
            <w:r w:rsidRPr="00276EA7">
              <w:t>0,054</w:t>
            </w:r>
          </w:p>
        </w:tc>
        <w:tc>
          <w:tcPr>
            <w:tcW w:w="0" w:type="auto"/>
          </w:tcPr>
          <w:p w14:paraId="44E220C6" w14:textId="77777777" w:rsidR="007769F5" w:rsidRPr="00276EA7" w:rsidRDefault="007769F5" w:rsidP="00173734">
            <w:r w:rsidRPr="00276EA7">
              <w:t>0,89</w:t>
            </w:r>
          </w:p>
        </w:tc>
        <w:tc>
          <w:tcPr>
            <w:tcW w:w="1447" w:type="dxa"/>
          </w:tcPr>
          <w:p w14:paraId="321012D0" w14:textId="77777777" w:rsidR="007769F5" w:rsidRPr="00276EA7" w:rsidRDefault="007769F5" w:rsidP="00173734">
            <w:r w:rsidRPr="00276EA7">
              <w:t>0,61-1,29</w:t>
            </w:r>
          </w:p>
        </w:tc>
        <w:tc>
          <w:tcPr>
            <w:tcW w:w="1139" w:type="dxa"/>
          </w:tcPr>
          <w:p w14:paraId="2DAE88F6" w14:textId="77777777" w:rsidR="007769F5" w:rsidRPr="00276EA7" w:rsidRDefault="007769F5" w:rsidP="00173734">
            <w:r w:rsidRPr="00276EA7">
              <w:t>0,535</w:t>
            </w:r>
          </w:p>
        </w:tc>
      </w:tr>
      <w:tr w:rsidR="007769F5" w:rsidRPr="00276EA7" w14:paraId="3B55D129" w14:textId="77777777" w:rsidTr="00D83E9C">
        <w:tc>
          <w:tcPr>
            <w:tcW w:w="4481" w:type="dxa"/>
          </w:tcPr>
          <w:p w14:paraId="08F39D27" w14:textId="77777777" w:rsidR="007769F5" w:rsidRPr="00276EA7" w:rsidRDefault="007769F5" w:rsidP="00173734">
            <w:r w:rsidRPr="00276EA7">
              <w:t>Diabetes mellitus</w:t>
            </w:r>
          </w:p>
        </w:tc>
        <w:tc>
          <w:tcPr>
            <w:tcW w:w="0" w:type="auto"/>
          </w:tcPr>
          <w:p w14:paraId="04E08F2E" w14:textId="77777777" w:rsidR="007769F5" w:rsidRPr="00276EA7" w:rsidRDefault="007769F5" w:rsidP="00173734">
            <w:r w:rsidRPr="00276EA7">
              <w:t>1,54</w:t>
            </w:r>
          </w:p>
        </w:tc>
        <w:tc>
          <w:tcPr>
            <w:tcW w:w="1300" w:type="dxa"/>
          </w:tcPr>
          <w:p w14:paraId="35E1790E" w14:textId="77777777" w:rsidR="007769F5" w:rsidRPr="00276EA7" w:rsidRDefault="007769F5" w:rsidP="00173734">
            <w:r w:rsidRPr="00276EA7">
              <w:t>0,82-2,88</w:t>
            </w:r>
          </w:p>
        </w:tc>
        <w:tc>
          <w:tcPr>
            <w:tcW w:w="1134" w:type="dxa"/>
          </w:tcPr>
          <w:p w14:paraId="25EDE168" w14:textId="77777777" w:rsidR="007769F5" w:rsidRPr="00276EA7" w:rsidRDefault="007769F5" w:rsidP="00173734">
            <w:r w:rsidRPr="00276EA7">
              <w:t>0,179</w:t>
            </w:r>
          </w:p>
        </w:tc>
        <w:tc>
          <w:tcPr>
            <w:tcW w:w="0" w:type="auto"/>
          </w:tcPr>
          <w:p w14:paraId="31ED2C06" w14:textId="77777777" w:rsidR="007769F5" w:rsidRPr="00276EA7" w:rsidRDefault="007769F5" w:rsidP="00173734">
            <w:r w:rsidRPr="00276EA7">
              <w:t>0,85</w:t>
            </w:r>
          </w:p>
        </w:tc>
        <w:tc>
          <w:tcPr>
            <w:tcW w:w="1447" w:type="dxa"/>
          </w:tcPr>
          <w:p w14:paraId="72BEA277" w14:textId="77777777" w:rsidR="007769F5" w:rsidRPr="00276EA7" w:rsidRDefault="007769F5" w:rsidP="00173734">
            <w:r w:rsidRPr="00276EA7">
              <w:t>0,39-1,83</w:t>
            </w:r>
          </w:p>
        </w:tc>
        <w:tc>
          <w:tcPr>
            <w:tcW w:w="1139" w:type="dxa"/>
          </w:tcPr>
          <w:p w14:paraId="166BA997" w14:textId="77777777" w:rsidR="007769F5" w:rsidRPr="00276EA7" w:rsidRDefault="007769F5" w:rsidP="00173734">
            <w:r w:rsidRPr="00276EA7">
              <w:t>0,679</w:t>
            </w:r>
          </w:p>
        </w:tc>
      </w:tr>
      <w:tr w:rsidR="007769F5" w:rsidRPr="00276EA7" w14:paraId="10467E98" w14:textId="77777777" w:rsidTr="00D83E9C">
        <w:tc>
          <w:tcPr>
            <w:tcW w:w="4481" w:type="dxa"/>
          </w:tcPr>
          <w:p w14:paraId="6645DA6C" w14:textId="77777777" w:rsidR="007769F5" w:rsidRPr="00276EA7" w:rsidRDefault="007769F5" w:rsidP="00173734">
            <w:proofErr w:type="spellStart"/>
            <w:r w:rsidRPr="00276EA7">
              <w:t>Dislipemia</w:t>
            </w:r>
            <w:proofErr w:type="spellEnd"/>
          </w:p>
        </w:tc>
        <w:tc>
          <w:tcPr>
            <w:tcW w:w="0" w:type="auto"/>
          </w:tcPr>
          <w:p w14:paraId="20D95AD8" w14:textId="77777777" w:rsidR="007769F5" w:rsidRPr="00276EA7" w:rsidRDefault="007769F5" w:rsidP="00173734">
            <w:r w:rsidRPr="00276EA7">
              <w:t>1,03</w:t>
            </w:r>
          </w:p>
        </w:tc>
        <w:tc>
          <w:tcPr>
            <w:tcW w:w="1300" w:type="dxa"/>
          </w:tcPr>
          <w:p w14:paraId="4D7EE2BD" w14:textId="77777777" w:rsidR="007769F5" w:rsidRPr="00276EA7" w:rsidRDefault="007769F5" w:rsidP="00173734">
            <w:r w:rsidRPr="00276EA7">
              <w:t>0,84-1,26</w:t>
            </w:r>
          </w:p>
        </w:tc>
        <w:tc>
          <w:tcPr>
            <w:tcW w:w="1134" w:type="dxa"/>
          </w:tcPr>
          <w:p w14:paraId="17CD5770" w14:textId="77777777" w:rsidR="007769F5" w:rsidRPr="00276EA7" w:rsidRDefault="007769F5" w:rsidP="00173734">
            <w:r w:rsidRPr="00276EA7">
              <w:t>0,762</w:t>
            </w:r>
          </w:p>
        </w:tc>
        <w:tc>
          <w:tcPr>
            <w:tcW w:w="0" w:type="auto"/>
          </w:tcPr>
          <w:p w14:paraId="3BA010F2" w14:textId="77777777" w:rsidR="007769F5" w:rsidRPr="00276EA7" w:rsidRDefault="007769F5" w:rsidP="00173734">
            <w:r w:rsidRPr="00276EA7">
              <w:t>0,90</w:t>
            </w:r>
          </w:p>
        </w:tc>
        <w:tc>
          <w:tcPr>
            <w:tcW w:w="1447" w:type="dxa"/>
          </w:tcPr>
          <w:p w14:paraId="06B6E2AB" w14:textId="77777777" w:rsidR="007769F5" w:rsidRPr="00276EA7" w:rsidRDefault="007769F5" w:rsidP="00173734">
            <w:r w:rsidRPr="00276EA7">
              <w:t>0,63-1,29</w:t>
            </w:r>
          </w:p>
        </w:tc>
        <w:tc>
          <w:tcPr>
            <w:tcW w:w="1139" w:type="dxa"/>
          </w:tcPr>
          <w:p w14:paraId="312269ED" w14:textId="77777777" w:rsidR="007769F5" w:rsidRPr="00276EA7" w:rsidRDefault="007769F5" w:rsidP="00173734">
            <w:r w:rsidRPr="00276EA7">
              <w:t>0,585</w:t>
            </w:r>
          </w:p>
        </w:tc>
      </w:tr>
      <w:tr w:rsidR="007769F5" w:rsidRPr="00276EA7" w14:paraId="01A7D013" w14:textId="77777777" w:rsidTr="00D83E9C">
        <w:tc>
          <w:tcPr>
            <w:tcW w:w="4481" w:type="dxa"/>
          </w:tcPr>
          <w:p w14:paraId="7B734A5B" w14:textId="77777777" w:rsidR="007769F5" w:rsidRPr="00276EA7" w:rsidRDefault="007769F5" w:rsidP="00173734">
            <w:r w:rsidRPr="00276EA7">
              <w:t>Tabaquismo activo</w:t>
            </w:r>
          </w:p>
        </w:tc>
        <w:tc>
          <w:tcPr>
            <w:tcW w:w="0" w:type="auto"/>
          </w:tcPr>
          <w:p w14:paraId="10F88DA8" w14:textId="77777777" w:rsidR="007769F5" w:rsidRPr="00276EA7" w:rsidRDefault="007769F5" w:rsidP="00173734">
            <w:r w:rsidRPr="00276EA7">
              <w:t>0,98</w:t>
            </w:r>
          </w:p>
        </w:tc>
        <w:tc>
          <w:tcPr>
            <w:tcW w:w="1300" w:type="dxa"/>
          </w:tcPr>
          <w:p w14:paraId="2A5F1E9B" w14:textId="77777777" w:rsidR="007769F5" w:rsidRPr="00276EA7" w:rsidRDefault="007769F5" w:rsidP="00173734">
            <w:r w:rsidRPr="00276EA7">
              <w:t>0,78-1,24</w:t>
            </w:r>
          </w:p>
        </w:tc>
        <w:tc>
          <w:tcPr>
            <w:tcW w:w="1134" w:type="dxa"/>
          </w:tcPr>
          <w:p w14:paraId="1E25D91B" w14:textId="77777777" w:rsidR="007769F5" w:rsidRPr="00276EA7" w:rsidRDefault="007769F5" w:rsidP="00173734">
            <w:r w:rsidRPr="00276EA7">
              <w:t>0,899</w:t>
            </w:r>
          </w:p>
        </w:tc>
        <w:tc>
          <w:tcPr>
            <w:tcW w:w="0" w:type="auto"/>
          </w:tcPr>
          <w:p w14:paraId="2D06AE83" w14:textId="77777777" w:rsidR="007769F5" w:rsidRPr="00276EA7" w:rsidRDefault="007769F5" w:rsidP="00173734">
            <w:r w:rsidRPr="00276EA7">
              <w:t>1,12</w:t>
            </w:r>
          </w:p>
        </w:tc>
        <w:tc>
          <w:tcPr>
            <w:tcW w:w="1447" w:type="dxa"/>
          </w:tcPr>
          <w:p w14:paraId="746198ED" w14:textId="77777777" w:rsidR="007769F5" w:rsidRPr="00276EA7" w:rsidRDefault="007769F5" w:rsidP="00173734">
            <w:r w:rsidRPr="00276EA7">
              <w:t>0,841,49</w:t>
            </w:r>
          </w:p>
        </w:tc>
        <w:tc>
          <w:tcPr>
            <w:tcW w:w="1139" w:type="dxa"/>
          </w:tcPr>
          <w:p w14:paraId="5F34A4EC" w14:textId="77777777" w:rsidR="007769F5" w:rsidRPr="00276EA7" w:rsidRDefault="007769F5" w:rsidP="00173734">
            <w:r w:rsidRPr="00276EA7">
              <w:t>0,433</w:t>
            </w:r>
          </w:p>
        </w:tc>
      </w:tr>
      <w:tr w:rsidR="007769F5" w:rsidRPr="00276EA7" w14:paraId="002DF5FD" w14:textId="77777777" w:rsidTr="00D83E9C">
        <w:tc>
          <w:tcPr>
            <w:tcW w:w="4481" w:type="dxa"/>
          </w:tcPr>
          <w:p w14:paraId="1DE61051" w14:textId="77777777" w:rsidR="007769F5" w:rsidRPr="00276EA7" w:rsidRDefault="007769F5" w:rsidP="00173734">
            <w:r w:rsidRPr="00276EA7">
              <w:t>Antecedente de IAM</w:t>
            </w:r>
          </w:p>
        </w:tc>
        <w:tc>
          <w:tcPr>
            <w:tcW w:w="0" w:type="auto"/>
          </w:tcPr>
          <w:p w14:paraId="1E0CBBBC" w14:textId="77777777" w:rsidR="007769F5" w:rsidRPr="00276EA7" w:rsidRDefault="007769F5" w:rsidP="00173734">
            <w:r w:rsidRPr="00276EA7">
              <w:t>1,70</w:t>
            </w:r>
          </w:p>
        </w:tc>
        <w:tc>
          <w:tcPr>
            <w:tcW w:w="1300" w:type="dxa"/>
          </w:tcPr>
          <w:p w14:paraId="698AE523" w14:textId="77777777" w:rsidR="007769F5" w:rsidRPr="00276EA7" w:rsidRDefault="007769F5" w:rsidP="00173734">
            <w:r w:rsidRPr="00276EA7">
              <w:t>0,97-2,97</w:t>
            </w:r>
          </w:p>
        </w:tc>
        <w:tc>
          <w:tcPr>
            <w:tcW w:w="1134" w:type="dxa"/>
          </w:tcPr>
          <w:p w14:paraId="10855D00" w14:textId="77777777" w:rsidR="007769F5" w:rsidRPr="00276EA7" w:rsidRDefault="007769F5" w:rsidP="00173734">
            <w:r w:rsidRPr="00276EA7">
              <w:t>0,063</w:t>
            </w:r>
          </w:p>
        </w:tc>
        <w:tc>
          <w:tcPr>
            <w:tcW w:w="0" w:type="auto"/>
          </w:tcPr>
          <w:p w14:paraId="674D8CBC" w14:textId="77777777" w:rsidR="007769F5" w:rsidRPr="00276EA7" w:rsidRDefault="007769F5" w:rsidP="00173734">
            <w:r w:rsidRPr="00276EA7">
              <w:t>1,82</w:t>
            </w:r>
          </w:p>
        </w:tc>
        <w:tc>
          <w:tcPr>
            <w:tcW w:w="1447" w:type="dxa"/>
          </w:tcPr>
          <w:p w14:paraId="251CE9EE" w14:textId="77777777" w:rsidR="007769F5" w:rsidRPr="00276EA7" w:rsidRDefault="007769F5" w:rsidP="00173734">
            <w:r w:rsidRPr="00276EA7">
              <w:t>1,40-2,37</w:t>
            </w:r>
          </w:p>
        </w:tc>
        <w:tc>
          <w:tcPr>
            <w:tcW w:w="1139" w:type="dxa"/>
          </w:tcPr>
          <w:p w14:paraId="61471CEF" w14:textId="77777777" w:rsidR="007769F5" w:rsidRPr="00276EA7" w:rsidRDefault="007769F5" w:rsidP="00173734">
            <w:r w:rsidRPr="00276EA7">
              <w:t>&lt; 0,001</w:t>
            </w:r>
          </w:p>
        </w:tc>
      </w:tr>
      <w:tr w:rsidR="007769F5" w:rsidRPr="00276EA7" w14:paraId="52787E2E" w14:textId="77777777" w:rsidTr="00D83E9C">
        <w:tc>
          <w:tcPr>
            <w:tcW w:w="4481" w:type="dxa"/>
          </w:tcPr>
          <w:p w14:paraId="7E42935E" w14:textId="77777777" w:rsidR="007769F5" w:rsidRPr="00276EA7" w:rsidRDefault="007769F5" w:rsidP="00173734">
            <w:r w:rsidRPr="00276EA7">
              <w:t>IAMCEST</w:t>
            </w:r>
          </w:p>
        </w:tc>
        <w:tc>
          <w:tcPr>
            <w:tcW w:w="0" w:type="auto"/>
          </w:tcPr>
          <w:p w14:paraId="5B1C80A6" w14:textId="77777777" w:rsidR="007769F5" w:rsidRPr="00276EA7" w:rsidRDefault="007769F5" w:rsidP="00173734">
            <w:r w:rsidRPr="00276EA7">
              <w:t>1,48</w:t>
            </w:r>
          </w:p>
        </w:tc>
        <w:tc>
          <w:tcPr>
            <w:tcW w:w="1300" w:type="dxa"/>
          </w:tcPr>
          <w:p w14:paraId="6F804023" w14:textId="77777777" w:rsidR="007769F5" w:rsidRPr="00276EA7" w:rsidRDefault="007769F5" w:rsidP="00173734">
            <w:r w:rsidRPr="00276EA7">
              <w:t>0,99-2,21</w:t>
            </w:r>
          </w:p>
        </w:tc>
        <w:tc>
          <w:tcPr>
            <w:tcW w:w="1134" w:type="dxa"/>
          </w:tcPr>
          <w:p w14:paraId="262964C5" w14:textId="77777777" w:rsidR="007769F5" w:rsidRPr="00276EA7" w:rsidRDefault="007769F5" w:rsidP="00173734">
            <w:r w:rsidRPr="00276EA7">
              <w:t>0,057</w:t>
            </w:r>
          </w:p>
        </w:tc>
        <w:tc>
          <w:tcPr>
            <w:tcW w:w="0" w:type="auto"/>
          </w:tcPr>
          <w:p w14:paraId="1D0B9C54" w14:textId="77777777" w:rsidR="007769F5" w:rsidRPr="00276EA7" w:rsidRDefault="007769F5" w:rsidP="00173734">
            <w:r w:rsidRPr="00276EA7">
              <w:t>1,41</w:t>
            </w:r>
          </w:p>
        </w:tc>
        <w:tc>
          <w:tcPr>
            <w:tcW w:w="1447" w:type="dxa"/>
          </w:tcPr>
          <w:p w14:paraId="61791649" w14:textId="77777777" w:rsidR="007769F5" w:rsidRPr="00276EA7" w:rsidRDefault="007769F5" w:rsidP="00173734">
            <w:r w:rsidRPr="00276EA7">
              <w:t>0,76-2,63</w:t>
            </w:r>
          </w:p>
        </w:tc>
        <w:tc>
          <w:tcPr>
            <w:tcW w:w="1139" w:type="dxa"/>
          </w:tcPr>
          <w:p w14:paraId="7D58CB34" w14:textId="77777777" w:rsidR="007769F5" w:rsidRPr="00276EA7" w:rsidRDefault="007769F5" w:rsidP="00173734">
            <w:r w:rsidRPr="00276EA7">
              <w:t>0,271</w:t>
            </w:r>
          </w:p>
        </w:tc>
      </w:tr>
      <w:tr w:rsidR="007769F5" w:rsidRPr="00276EA7" w14:paraId="59CFA97A" w14:textId="77777777" w:rsidTr="00D83E9C">
        <w:tc>
          <w:tcPr>
            <w:tcW w:w="4481" w:type="dxa"/>
          </w:tcPr>
          <w:p w14:paraId="738D80F3" w14:textId="77777777" w:rsidR="007769F5" w:rsidRPr="00276EA7" w:rsidRDefault="007769F5" w:rsidP="00173734">
            <w:r w:rsidRPr="00276EA7">
              <w:t>FEVI &lt; 40%</w:t>
            </w:r>
          </w:p>
        </w:tc>
        <w:tc>
          <w:tcPr>
            <w:tcW w:w="0" w:type="auto"/>
          </w:tcPr>
          <w:p w14:paraId="1698ED1B" w14:textId="77777777" w:rsidR="007769F5" w:rsidRPr="00276EA7" w:rsidRDefault="007769F5" w:rsidP="00173734">
            <w:r w:rsidRPr="00276EA7">
              <w:t>2,71</w:t>
            </w:r>
          </w:p>
        </w:tc>
        <w:tc>
          <w:tcPr>
            <w:tcW w:w="1300" w:type="dxa"/>
          </w:tcPr>
          <w:p w14:paraId="03CCDDFC" w14:textId="77777777" w:rsidR="007769F5" w:rsidRPr="00276EA7" w:rsidRDefault="007769F5" w:rsidP="00173734">
            <w:r w:rsidRPr="00276EA7">
              <w:t>1,36-5,42</w:t>
            </w:r>
          </w:p>
        </w:tc>
        <w:tc>
          <w:tcPr>
            <w:tcW w:w="1134" w:type="dxa"/>
          </w:tcPr>
          <w:p w14:paraId="656CB05C" w14:textId="77777777" w:rsidR="007769F5" w:rsidRPr="00276EA7" w:rsidRDefault="007769F5" w:rsidP="00173734">
            <w:r w:rsidRPr="00276EA7">
              <w:t>0,005</w:t>
            </w:r>
          </w:p>
        </w:tc>
        <w:tc>
          <w:tcPr>
            <w:tcW w:w="0" w:type="auto"/>
          </w:tcPr>
          <w:p w14:paraId="15B6B2E2" w14:textId="77777777" w:rsidR="007769F5" w:rsidRPr="00276EA7" w:rsidRDefault="007769F5" w:rsidP="00173734">
            <w:r w:rsidRPr="00276EA7">
              <w:t>2,78</w:t>
            </w:r>
          </w:p>
        </w:tc>
        <w:tc>
          <w:tcPr>
            <w:tcW w:w="1447" w:type="dxa"/>
          </w:tcPr>
          <w:p w14:paraId="1CF94C70" w14:textId="77777777" w:rsidR="007769F5" w:rsidRPr="00276EA7" w:rsidRDefault="007769F5" w:rsidP="00173734">
            <w:r w:rsidRPr="00276EA7">
              <w:t>1,33-5,11</w:t>
            </w:r>
          </w:p>
        </w:tc>
        <w:tc>
          <w:tcPr>
            <w:tcW w:w="1139" w:type="dxa"/>
          </w:tcPr>
          <w:p w14:paraId="22F63157" w14:textId="77777777" w:rsidR="007769F5" w:rsidRPr="00276EA7" w:rsidRDefault="007769F5" w:rsidP="00173734">
            <w:r w:rsidRPr="00276EA7">
              <w:t>0,005</w:t>
            </w:r>
          </w:p>
        </w:tc>
      </w:tr>
      <w:tr w:rsidR="007769F5" w:rsidRPr="00276EA7" w14:paraId="7C589891" w14:textId="77777777" w:rsidTr="00D83E9C">
        <w:tc>
          <w:tcPr>
            <w:tcW w:w="4481" w:type="dxa"/>
          </w:tcPr>
          <w:p w14:paraId="0EA5831E" w14:textId="77777777" w:rsidR="007769F5" w:rsidRPr="00276EA7" w:rsidRDefault="007769F5" w:rsidP="00173734">
            <w:r w:rsidRPr="00276EA7">
              <w:t>Hemoglobina (por cada 1 g/dl)</w:t>
            </w:r>
          </w:p>
        </w:tc>
        <w:tc>
          <w:tcPr>
            <w:tcW w:w="0" w:type="auto"/>
          </w:tcPr>
          <w:p w14:paraId="7EA3C88C" w14:textId="77777777" w:rsidR="007769F5" w:rsidRPr="00276EA7" w:rsidRDefault="007769F5" w:rsidP="00173734">
            <w:r w:rsidRPr="00276EA7">
              <w:t>0,83</w:t>
            </w:r>
          </w:p>
        </w:tc>
        <w:tc>
          <w:tcPr>
            <w:tcW w:w="1300" w:type="dxa"/>
          </w:tcPr>
          <w:p w14:paraId="6C519AF8" w14:textId="77777777" w:rsidR="007769F5" w:rsidRPr="00276EA7" w:rsidRDefault="007769F5" w:rsidP="00173734">
            <w:r w:rsidRPr="00276EA7">
              <w:t>0,74-0,93</w:t>
            </w:r>
          </w:p>
        </w:tc>
        <w:tc>
          <w:tcPr>
            <w:tcW w:w="1134" w:type="dxa"/>
          </w:tcPr>
          <w:p w14:paraId="11B2FC88" w14:textId="77777777" w:rsidR="007769F5" w:rsidRPr="00276EA7" w:rsidRDefault="007769F5" w:rsidP="00173734">
            <w:r w:rsidRPr="00276EA7">
              <w:t>0,002</w:t>
            </w:r>
          </w:p>
        </w:tc>
        <w:tc>
          <w:tcPr>
            <w:tcW w:w="0" w:type="auto"/>
          </w:tcPr>
          <w:p w14:paraId="1A8E9831" w14:textId="77777777" w:rsidR="007769F5" w:rsidRPr="00276EA7" w:rsidRDefault="007769F5" w:rsidP="00173734">
            <w:r w:rsidRPr="00276EA7">
              <w:t>0,93</w:t>
            </w:r>
          </w:p>
        </w:tc>
        <w:tc>
          <w:tcPr>
            <w:tcW w:w="1447" w:type="dxa"/>
          </w:tcPr>
          <w:p w14:paraId="6B715EC6" w14:textId="77777777" w:rsidR="007769F5" w:rsidRPr="00276EA7" w:rsidRDefault="007769F5" w:rsidP="00173734">
            <w:r w:rsidRPr="00276EA7">
              <w:t>0,71-1,22</w:t>
            </w:r>
          </w:p>
        </w:tc>
        <w:tc>
          <w:tcPr>
            <w:tcW w:w="1139" w:type="dxa"/>
          </w:tcPr>
          <w:p w14:paraId="774DBD00" w14:textId="77777777" w:rsidR="007769F5" w:rsidRPr="00276EA7" w:rsidRDefault="007769F5" w:rsidP="00173734">
            <w:r w:rsidRPr="00276EA7">
              <w:t>0,599</w:t>
            </w:r>
          </w:p>
        </w:tc>
      </w:tr>
      <w:tr w:rsidR="007769F5" w:rsidRPr="00276EA7" w14:paraId="63AFBF18" w14:textId="77777777" w:rsidTr="00D83E9C">
        <w:tc>
          <w:tcPr>
            <w:tcW w:w="4481" w:type="dxa"/>
          </w:tcPr>
          <w:p w14:paraId="6DE1DE58" w14:textId="77777777" w:rsidR="007769F5" w:rsidRPr="00276EA7" w:rsidRDefault="007769F5" w:rsidP="00173734">
            <w:r w:rsidRPr="00276EA7">
              <w:t>Creatinina (por cada 1 mg/dl)</w:t>
            </w:r>
          </w:p>
        </w:tc>
        <w:tc>
          <w:tcPr>
            <w:tcW w:w="0" w:type="auto"/>
          </w:tcPr>
          <w:p w14:paraId="0D1BD6EC" w14:textId="77777777" w:rsidR="007769F5" w:rsidRPr="00276EA7" w:rsidRDefault="007769F5" w:rsidP="00173734">
            <w:r w:rsidRPr="00276EA7">
              <w:t>1,46</w:t>
            </w:r>
          </w:p>
        </w:tc>
        <w:tc>
          <w:tcPr>
            <w:tcW w:w="1300" w:type="dxa"/>
          </w:tcPr>
          <w:p w14:paraId="0010E671" w14:textId="77777777" w:rsidR="007769F5" w:rsidRPr="00276EA7" w:rsidRDefault="007769F5" w:rsidP="00173734">
            <w:r w:rsidRPr="00276EA7">
              <w:t>1,34-1,59</w:t>
            </w:r>
          </w:p>
        </w:tc>
        <w:tc>
          <w:tcPr>
            <w:tcW w:w="1134" w:type="dxa"/>
          </w:tcPr>
          <w:p w14:paraId="23653433" w14:textId="77777777" w:rsidR="007769F5" w:rsidRPr="00276EA7" w:rsidRDefault="007769F5" w:rsidP="00173734">
            <w:r w:rsidRPr="00276EA7">
              <w:t>&lt; 0,001</w:t>
            </w:r>
          </w:p>
        </w:tc>
        <w:tc>
          <w:tcPr>
            <w:tcW w:w="0" w:type="auto"/>
          </w:tcPr>
          <w:p w14:paraId="7C905660" w14:textId="77777777" w:rsidR="007769F5" w:rsidRPr="00276EA7" w:rsidRDefault="007769F5" w:rsidP="00173734">
            <w:r w:rsidRPr="00276EA7">
              <w:t>1,36</w:t>
            </w:r>
          </w:p>
        </w:tc>
        <w:tc>
          <w:tcPr>
            <w:tcW w:w="1447" w:type="dxa"/>
          </w:tcPr>
          <w:p w14:paraId="484EA426" w14:textId="77777777" w:rsidR="007769F5" w:rsidRPr="00276EA7" w:rsidRDefault="007769F5" w:rsidP="00173734">
            <w:r w:rsidRPr="00276EA7">
              <w:t>1,22-1,50</w:t>
            </w:r>
          </w:p>
        </w:tc>
        <w:tc>
          <w:tcPr>
            <w:tcW w:w="1139" w:type="dxa"/>
          </w:tcPr>
          <w:p w14:paraId="0BFC28A3" w14:textId="77777777" w:rsidR="007769F5" w:rsidRPr="00276EA7" w:rsidRDefault="007769F5" w:rsidP="00173734">
            <w:r w:rsidRPr="00276EA7">
              <w:t>&lt; 0,001</w:t>
            </w:r>
          </w:p>
        </w:tc>
      </w:tr>
      <w:tr w:rsidR="007769F5" w:rsidRPr="00276EA7" w14:paraId="4D29032F" w14:textId="77777777" w:rsidTr="00D83E9C">
        <w:tc>
          <w:tcPr>
            <w:tcW w:w="4481" w:type="dxa"/>
          </w:tcPr>
          <w:p w14:paraId="6842D94D" w14:textId="77777777" w:rsidR="007769F5" w:rsidRPr="00276EA7" w:rsidRDefault="007769F5" w:rsidP="00173734">
            <w:r w:rsidRPr="00276EA7">
              <w:t xml:space="preserve">Enfermedad </w:t>
            </w:r>
            <w:proofErr w:type="spellStart"/>
            <w:r w:rsidRPr="00276EA7">
              <w:t>multivaso</w:t>
            </w:r>
            <w:proofErr w:type="spellEnd"/>
          </w:p>
        </w:tc>
        <w:tc>
          <w:tcPr>
            <w:tcW w:w="0" w:type="auto"/>
          </w:tcPr>
          <w:p w14:paraId="67975A27" w14:textId="77777777" w:rsidR="007769F5" w:rsidRPr="00276EA7" w:rsidRDefault="007769F5" w:rsidP="00173734">
            <w:r w:rsidRPr="00276EA7">
              <w:t>1,25</w:t>
            </w:r>
          </w:p>
        </w:tc>
        <w:tc>
          <w:tcPr>
            <w:tcW w:w="1300" w:type="dxa"/>
          </w:tcPr>
          <w:p w14:paraId="346A7BAF" w14:textId="77777777" w:rsidR="007769F5" w:rsidRPr="00276EA7" w:rsidRDefault="007769F5" w:rsidP="00173734">
            <w:r w:rsidRPr="00276EA7">
              <w:t>0,80-1,94</w:t>
            </w:r>
          </w:p>
        </w:tc>
        <w:tc>
          <w:tcPr>
            <w:tcW w:w="1134" w:type="dxa"/>
          </w:tcPr>
          <w:p w14:paraId="7417C987" w14:textId="77777777" w:rsidR="007769F5" w:rsidRPr="00276EA7" w:rsidRDefault="007769F5" w:rsidP="00173734">
            <w:r w:rsidRPr="00276EA7">
              <w:t>0,328</w:t>
            </w:r>
          </w:p>
        </w:tc>
        <w:tc>
          <w:tcPr>
            <w:tcW w:w="0" w:type="auto"/>
          </w:tcPr>
          <w:p w14:paraId="4F9B41E5" w14:textId="77777777" w:rsidR="007769F5" w:rsidRPr="00276EA7" w:rsidRDefault="007769F5" w:rsidP="00173734">
            <w:r w:rsidRPr="00276EA7">
              <w:t>1,12</w:t>
            </w:r>
          </w:p>
        </w:tc>
        <w:tc>
          <w:tcPr>
            <w:tcW w:w="1447" w:type="dxa"/>
          </w:tcPr>
          <w:p w14:paraId="123BBFCB" w14:textId="77777777" w:rsidR="007769F5" w:rsidRPr="00276EA7" w:rsidRDefault="007769F5" w:rsidP="00173734">
            <w:r w:rsidRPr="00276EA7">
              <w:t>0,43-2,93</w:t>
            </w:r>
          </w:p>
        </w:tc>
        <w:tc>
          <w:tcPr>
            <w:tcW w:w="1139" w:type="dxa"/>
          </w:tcPr>
          <w:p w14:paraId="19397ACE" w14:textId="77777777" w:rsidR="007769F5" w:rsidRPr="00276EA7" w:rsidRDefault="007769F5" w:rsidP="00173734">
            <w:r w:rsidRPr="00276EA7">
              <w:t>0,809</w:t>
            </w:r>
          </w:p>
        </w:tc>
      </w:tr>
      <w:tr w:rsidR="007769F5" w:rsidRPr="00276EA7" w14:paraId="1744833A" w14:textId="77777777" w:rsidTr="00D83E9C">
        <w:tc>
          <w:tcPr>
            <w:tcW w:w="4481" w:type="dxa"/>
          </w:tcPr>
          <w:p w14:paraId="396BED74" w14:textId="77777777" w:rsidR="007769F5" w:rsidRPr="00276EA7" w:rsidRDefault="007769F5" w:rsidP="00173734">
            <w:r w:rsidRPr="00276EA7">
              <w:t xml:space="preserve">Inhibidores de la glucoproteína </w:t>
            </w:r>
            <w:proofErr w:type="spellStart"/>
            <w:r w:rsidRPr="00276EA7">
              <w:t>IIb</w:t>
            </w:r>
            <w:proofErr w:type="spellEnd"/>
            <w:r w:rsidRPr="00276EA7">
              <w:t>/</w:t>
            </w:r>
            <w:proofErr w:type="spellStart"/>
            <w:r w:rsidRPr="00276EA7">
              <w:t>IIIa</w:t>
            </w:r>
            <w:proofErr w:type="spellEnd"/>
          </w:p>
        </w:tc>
        <w:tc>
          <w:tcPr>
            <w:tcW w:w="0" w:type="auto"/>
          </w:tcPr>
          <w:p w14:paraId="7C814AA3" w14:textId="77777777" w:rsidR="007769F5" w:rsidRPr="00276EA7" w:rsidRDefault="007769F5" w:rsidP="00173734">
            <w:r w:rsidRPr="00276EA7">
              <w:t>1,59</w:t>
            </w:r>
          </w:p>
        </w:tc>
        <w:tc>
          <w:tcPr>
            <w:tcW w:w="1300" w:type="dxa"/>
          </w:tcPr>
          <w:p w14:paraId="071944B5" w14:textId="77777777" w:rsidR="007769F5" w:rsidRPr="00276EA7" w:rsidRDefault="007769F5" w:rsidP="00173734">
            <w:r w:rsidRPr="00276EA7">
              <w:t>1,04-2,41</w:t>
            </w:r>
          </w:p>
        </w:tc>
        <w:tc>
          <w:tcPr>
            <w:tcW w:w="1134" w:type="dxa"/>
          </w:tcPr>
          <w:p w14:paraId="6F6D8009" w14:textId="77777777" w:rsidR="007769F5" w:rsidRPr="00276EA7" w:rsidRDefault="007769F5" w:rsidP="00173734">
            <w:r w:rsidRPr="00276EA7">
              <w:t>0,030</w:t>
            </w:r>
          </w:p>
        </w:tc>
        <w:tc>
          <w:tcPr>
            <w:tcW w:w="0" w:type="auto"/>
          </w:tcPr>
          <w:p w14:paraId="56D5C085" w14:textId="77777777" w:rsidR="007769F5" w:rsidRPr="00276EA7" w:rsidRDefault="007769F5" w:rsidP="00173734">
            <w:r w:rsidRPr="00276EA7">
              <w:t>0,82</w:t>
            </w:r>
          </w:p>
        </w:tc>
        <w:tc>
          <w:tcPr>
            <w:tcW w:w="1447" w:type="dxa"/>
          </w:tcPr>
          <w:p w14:paraId="614793D8" w14:textId="77777777" w:rsidR="007769F5" w:rsidRPr="00276EA7" w:rsidRDefault="007769F5" w:rsidP="00173734">
            <w:r w:rsidRPr="00276EA7">
              <w:t>0,27-2,44</w:t>
            </w:r>
          </w:p>
        </w:tc>
        <w:tc>
          <w:tcPr>
            <w:tcW w:w="1139" w:type="dxa"/>
          </w:tcPr>
          <w:p w14:paraId="11FFA408" w14:textId="77777777" w:rsidR="007769F5" w:rsidRPr="00276EA7" w:rsidRDefault="007769F5" w:rsidP="00173734">
            <w:r w:rsidRPr="00276EA7">
              <w:t>0,720</w:t>
            </w:r>
          </w:p>
        </w:tc>
      </w:tr>
      <w:tr w:rsidR="007769F5" w:rsidRPr="00276EA7" w14:paraId="7C425859" w14:textId="77777777" w:rsidTr="00D83E9C">
        <w:tc>
          <w:tcPr>
            <w:tcW w:w="4481" w:type="dxa"/>
          </w:tcPr>
          <w:p w14:paraId="3A6B0403" w14:textId="77777777" w:rsidR="007769F5" w:rsidRPr="00276EA7" w:rsidRDefault="007769F5" w:rsidP="00173734">
            <w:proofErr w:type="spellStart"/>
            <w:r w:rsidRPr="00276EA7">
              <w:t>Ticagrelor</w:t>
            </w:r>
            <w:proofErr w:type="spellEnd"/>
            <w:r w:rsidRPr="00276EA7">
              <w:t xml:space="preserve"> frente a </w:t>
            </w:r>
            <w:proofErr w:type="spellStart"/>
            <w:r w:rsidRPr="00276EA7">
              <w:t>prasugrel</w:t>
            </w:r>
            <w:proofErr w:type="spellEnd"/>
          </w:p>
        </w:tc>
        <w:tc>
          <w:tcPr>
            <w:tcW w:w="0" w:type="auto"/>
          </w:tcPr>
          <w:p w14:paraId="3685CCEB" w14:textId="77777777" w:rsidR="007769F5" w:rsidRPr="00276EA7" w:rsidRDefault="007769F5" w:rsidP="00173734">
            <w:r w:rsidRPr="00276EA7">
              <w:t>0,97</w:t>
            </w:r>
          </w:p>
        </w:tc>
        <w:tc>
          <w:tcPr>
            <w:tcW w:w="1300" w:type="dxa"/>
          </w:tcPr>
          <w:p w14:paraId="46132771" w14:textId="77777777" w:rsidR="007769F5" w:rsidRPr="00276EA7" w:rsidRDefault="007769F5" w:rsidP="00173734">
            <w:r w:rsidRPr="00276EA7">
              <w:t>0,56-1,68</w:t>
            </w:r>
          </w:p>
        </w:tc>
        <w:tc>
          <w:tcPr>
            <w:tcW w:w="1134" w:type="dxa"/>
          </w:tcPr>
          <w:p w14:paraId="67DCEC3F" w14:textId="77777777" w:rsidR="007769F5" w:rsidRPr="00276EA7" w:rsidRDefault="007769F5" w:rsidP="00173734">
            <w:r w:rsidRPr="00276EA7">
              <w:t>0,915</w:t>
            </w:r>
          </w:p>
        </w:tc>
        <w:tc>
          <w:tcPr>
            <w:tcW w:w="0" w:type="auto"/>
          </w:tcPr>
          <w:p w14:paraId="216010B2" w14:textId="77777777" w:rsidR="007769F5" w:rsidRPr="00276EA7" w:rsidRDefault="007769F5" w:rsidP="00173734">
            <w:r w:rsidRPr="00276EA7">
              <w:t>1,22</w:t>
            </w:r>
          </w:p>
        </w:tc>
        <w:tc>
          <w:tcPr>
            <w:tcW w:w="1447" w:type="dxa"/>
          </w:tcPr>
          <w:p w14:paraId="7D6D2E0A" w14:textId="77777777" w:rsidR="007769F5" w:rsidRPr="00276EA7" w:rsidRDefault="007769F5" w:rsidP="00173734">
            <w:r w:rsidRPr="00276EA7">
              <w:t>0,76-1,96</w:t>
            </w:r>
          </w:p>
        </w:tc>
        <w:tc>
          <w:tcPr>
            <w:tcW w:w="1139" w:type="dxa"/>
          </w:tcPr>
          <w:p w14:paraId="608C2A5F" w14:textId="77777777" w:rsidR="007769F5" w:rsidRPr="00276EA7" w:rsidRDefault="007769F5" w:rsidP="00173734">
            <w:r w:rsidRPr="00276EA7">
              <w:t>0,408</w:t>
            </w:r>
          </w:p>
        </w:tc>
      </w:tr>
      <w:tr w:rsidR="007769F5" w:rsidRPr="003B726C" w14:paraId="21C3C556" w14:textId="77777777" w:rsidTr="00D83E9C">
        <w:tc>
          <w:tcPr>
            <w:tcW w:w="4481" w:type="dxa"/>
          </w:tcPr>
          <w:p w14:paraId="1844465F" w14:textId="77777777" w:rsidR="007769F5" w:rsidRPr="00276EA7" w:rsidRDefault="007769F5" w:rsidP="00173734">
            <w:r w:rsidRPr="00276EA7">
              <w:t>SFA de nueva generación frente a SM</w:t>
            </w:r>
          </w:p>
        </w:tc>
        <w:tc>
          <w:tcPr>
            <w:tcW w:w="0" w:type="auto"/>
          </w:tcPr>
          <w:p w14:paraId="0E4C5DB1" w14:textId="77777777" w:rsidR="007769F5" w:rsidRPr="00276EA7" w:rsidRDefault="007769F5" w:rsidP="00173734">
            <w:r w:rsidRPr="00276EA7">
              <w:t>0,99</w:t>
            </w:r>
          </w:p>
        </w:tc>
        <w:tc>
          <w:tcPr>
            <w:tcW w:w="1300" w:type="dxa"/>
          </w:tcPr>
          <w:p w14:paraId="22B3051A" w14:textId="77777777" w:rsidR="007769F5" w:rsidRPr="00276EA7" w:rsidRDefault="007769F5" w:rsidP="00173734">
            <w:r w:rsidRPr="00276EA7">
              <w:t>0,59-1,70</w:t>
            </w:r>
          </w:p>
        </w:tc>
        <w:tc>
          <w:tcPr>
            <w:tcW w:w="1134" w:type="dxa"/>
          </w:tcPr>
          <w:p w14:paraId="48D779F5" w14:textId="77777777" w:rsidR="007769F5" w:rsidRPr="00276EA7" w:rsidRDefault="007769F5" w:rsidP="00173734">
            <w:r w:rsidRPr="00276EA7">
              <w:t>0,990</w:t>
            </w:r>
          </w:p>
        </w:tc>
        <w:tc>
          <w:tcPr>
            <w:tcW w:w="0" w:type="auto"/>
          </w:tcPr>
          <w:p w14:paraId="0D6E78BC" w14:textId="77777777" w:rsidR="007769F5" w:rsidRPr="00276EA7" w:rsidRDefault="007769F5" w:rsidP="00173734">
            <w:r w:rsidRPr="00276EA7">
              <w:t>2,70</w:t>
            </w:r>
          </w:p>
        </w:tc>
        <w:tc>
          <w:tcPr>
            <w:tcW w:w="1447" w:type="dxa"/>
          </w:tcPr>
          <w:p w14:paraId="621A77C5" w14:textId="77777777" w:rsidR="007769F5" w:rsidRPr="00276EA7" w:rsidRDefault="007769F5" w:rsidP="00173734">
            <w:r w:rsidRPr="00276EA7">
              <w:t>0,40-18,11</w:t>
            </w:r>
          </w:p>
        </w:tc>
        <w:tc>
          <w:tcPr>
            <w:tcW w:w="1139" w:type="dxa"/>
          </w:tcPr>
          <w:p w14:paraId="2C71B89A" w14:textId="77777777" w:rsidR="007769F5" w:rsidRPr="003B726C" w:rsidRDefault="007769F5" w:rsidP="00173734">
            <w:r w:rsidRPr="00276EA7">
              <w:t>0,307</w:t>
            </w:r>
          </w:p>
        </w:tc>
      </w:tr>
    </w:tbl>
    <w:p w14:paraId="6E764277" w14:textId="77777777" w:rsidR="007769F5" w:rsidRPr="003B726C" w:rsidRDefault="007769F5" w:rsidP="007769F5"/>
    <w:p w14:paraId="6CBE8BAA" w14:textId="08E0CC2B" w:rsidR="001C206A" w:rsidRDefault="00451C72" w:rsidP="007769F5">
      <w:pPr>
        <w:rPr>
          <w:lang w:eastAsia="it-IT"/>
        </w:rPr>
      </w:pPr>
      <w:r>
        <w:rPr>
          <w:lang w:eastAsia="it-IT"/>
        </w:rPr>
        <w:t>FEVI: fracción de eyección del ventrículo izquierdo; IAM: infarto agudo de miocardio; IAMCEST: infarto agudo de miocardio con elevación del segmento ST; IC95%:</w:t>
      </w:r>
      <w:r w:rsidR="007769F5">
        <w:rPr>
          <w:lang w:eastAsia="it-IT"/>
        </w:rPr>
        <w:t> </w:t>
      </w:r>
      <w:r>
        <w:rPr>
          <w:lang w:eastAsia="it-IT"/>
        </w:rPr>
        <w:t>intervalo de confianza del 95%; SFA:</w:t>
      </w:r>
      <w:r w:rsidR="007769F5">
        <w:rPr>
          <w:lang w:eastAsia="it-IT"/>
        </w:rPr>
        <w:t> </w:t>
      </w:r>
      <w:proofErr w:type="spellStart"/>
      <w:r>
        <w:rPr>
          <w:i/>
          <w:lang w:eastAsia="it-IT"/>
        </w:rPr>
        <w:t>stent</w:t>
      </w:r>
      <w:proofErr w:type="spellEnd"/>
      <w:r>
        <w:rPr>
          <w:lang w:eastAsia="it-IT"/>
        </w:rPr>
        <w:t xml:space="preserve"> </w:t>
      </w:r>
      <w:proofErr w:type="spellStart"/>
      <w:r>
        <w:rPr>
          <w:lang w:eastAsia="it-IT"/>
        </w:rPr>
        <w:t>farmacoactivo</w:t>
      </w:r>
      <w:proofErr w:type="spellEnd"/>
      <w:r>
        <w:rPr>
          <w:lang w:eastAsia="it-IT"/>
        </w:rPr>
        <w:t xml:space="preserve">; </w:t>
      </w:r>
      <w:proofErr w:type="spellStart"/>
      <w:r>
        <w:rPr>
          <w:lang w:eastAsia="it-IT"/>
        </w:rPr>
        <w:t>sHR</w:t>
      </w:r>
      <w:proofErr w:type="spellEnd"/>
      <w:r>
        <w:rPr>
          <w:lang w:eastAsia="it-IT"/>
        </w:rPr>
        <w:t>:</w:t>
      </w:r>
      <w:r w:rsidR="007769F5">
        <w:rPr>
          <w:lang w:eastAsia="it-IT"/>
        </w:rPr>
        <w:t> </w:t>
      </w:r>
      <w:proofErr w:type="spellStart"/>
      <w:r>
        <w:rPr>
          <w:i/>
          <w:lang w:eastAsia="it-IT"/>
        </w:rPr>
        <w:t>subhazard</w:t>
      </w:r>
      <w:proofErr w:type="spellEnd"/>
      <w:r>
        <w:rPr>
          <w:lang w:eastAsia="it-IT"/>
        </w:rPr>
        <w:t xml:space="preserve"> </w:t>
      </w:r>
      <w:r>
        <w:rPr>
          <w:i/>
          <w:lang w:eastAsia="it-IT"/>
        </w:rPr>
        <w:t>ratio</w:t>
      </w:r>
      <w:r w:rsidRPr="007769F5">
        <w:rPr>
          <w:i/>
          <w:lang w:eastAsia="it-IT"/>
        </w:rPr>
        <w:t>;</w:t>
      </w:r>
      <w:r>
        <w:rPr>
          <w:lang w:eastAsia="it-IT"/>
        </w:rPr>
        <w:t xml:space="preserve"> SM:</w:t>
      </w:r>
      <w:r w:rsidR="007769F5">
        <w:rPr>
          <w:lang w:eastAsia="it-IT"/>
        </w:rPr>
        <w:t> </w:t>
      </w:r>
      <w:proofErr w:type="spellStart"/>
      <w:r>
        <w:rPr>
          <w:i/>
          <w:lang w:eastAsia="it-IT"/>
        </w:rPr>
        <w:t>stent</w:t>
      </w:r>
      <w:proofErr w:type="spellEnd"/>
      <w:r>
        <w:rPr>
          <w:lang w:eastAsia="it-IT"/>
        </w:rPr>
        <w:t xml:space="preserve"> metálico; TS: trombosis de</w:t>
      </w:r>
      <w:r w:rsidR="007769F5">
        <w:rPr>
          <w:lang w:eastAsia="it-IT"/>
        </w:rPr>
        <w:t>l</w:t>
      </w:r>
      <w:r>
        <w:rPr>
          <w:lang w:eastAsia="it-IT"/>
        </w:rPr>
        <w:t xml:space="preserve"> </w:t>
      </w:r>
      <w:proofErr w:type="spellStart"/>
      <w:r>
        <w:rPr>
          <w:i/>
          <w:lang w:eastAsia="it-IT"/>
        </w:rPr>
        <w:t>stent</w:t>
      </w:r>
      <w:proofErr w:type="spellEnd"/>
      <w:r>
        <w:rPr>
          <w:lang w:eastAsia="it-IT"/>
        </w:rPr>
        <w:t>.</w:t>
      </w:r>
    </w:p>
    <w:p w14:paraId="59DC2026" w14:textId="77777777" w:rsidR="007769F5" w:rsidRDefault="007769F5">
      <w:pPr>
        <w:suppressAutoHyphens w:val="0"/>
        <w:spacing w:line="240" w:lineRule="auto"/>
        <w:rPr>
          <w:lang w:eastAsia="it-IT"/>
        </w:rPr>
      </w:pPr>
      <w:r>
        <w:rPr>
          <w:lang w:eastAsia="it-IT"/>
        </w:rPr>
        <w:br w:type="page"/>
      </w:r>
    </w:p>
    <w:p w14:paraId="12ED23C0" w14:textId="32E3ED0B" w:rsidR="001C206A" w:rsidRDefault="00451C72" w:rsidP="007769F5">
      <w:pPr>
        <w:rPr>
          <w:lang w:eastAsia="it-IT"/>
        </w:rPr>
      </w:pPr>
      <w:r w:rsidRPr="007769F5">
        <w:rPr>
          <w:b/>
          <w:lang w:eastAsia="it-IT"/>
        </w:rPr>
        <w:lastRenderedPageBreak/>
        <w:t xml:space="preserve">Figura </w:t>
      </w:r>
      <w:r w:rsidR="007769F5" w:rsidRPr="007769F5">
        <w:rPr>
          <w:b/>
          <w:lang w:eastAsia="it-IT"/>
        </w:rPr>
        <w:t xml:space="preserve">del </w:t>
      </w:r>
      <w:r w:rsidRPr="007769F5">
        <w:rPr>
          <w:b/>
          <w:lang w:eastAsia="it-IT"/>
        </w:rPr>
        <w:t>material suplementario.</w:t>
      </w:r>
      <w:r>
        <w:rPr>
          <w:lang w:eastAsia="it-IT"/>
        </w:rPr>
        <w:t xml:space="preserve"> Curva de Kaplan-</w:t>
      </w:r>
      <w:proofErr w:type="spellStart"/>
      <w:r>
        <w:rPr>
          <w:lang w:eastAsia="it-IT"/>
        </w:rPr>
        <w:t>Meier</w:t>
      </w:r>
      <w:proofErr w:type="spellEnd"/>
      <w:r>
        <w:rPr>
          <w:lang w:eastAsia="it-IT"/>
        </w:rPr>
        <w:t xml:space="preserve"> para mortalidad y/o trombosis de</w:t>
      </w:r>
      <w:r w:rsidR="007769F5">
        <w:rPr>
          <w:lang w:eastAsia="it-IT"/>
        </w:rPr>
        <w:t>l</w:t>
      </w:r>
      <w:r>
        <w:rPr>
          <w:lang w:eastAsia="it-IT"/>
        </w:rPr>
        <w:t xml:space="preserve"> </w:t>
      </w:r>
      <w:proofErr w:type="spellStart"/>
      <w:r w:rsidRPr="007769F5">
        <w:rPr>
          <w:i/>
          <w:lang w:eastAsia="it-IT"/>
        </w:rPr>
        <w:t>stent</w:t>
      </w:r>
      <w:proofErr w:type="spellEnd"/>
      <w:r>
        <w:rPr>
          <w:i/>
          <w:lang w:eastAsia="it-IT"/>
        </w:rPr>
        <w:t xml:space="preserve"> </w:t>
      </w:r>
      <w:r>
        <w:rPr>
          <w:lang w:eastAsia="it-IT"/>
        </w:rPr>
        <w:t xml:space="preserve">según el tipo de </w:t>
      </w:r>
      <w:proofErr w:type="spellStart"/>
      <w:r>
        <w:rPr>
          <w:lang w:eastAsia="it-IT"/>
        </w:rPr>
        <w:t>antiagregante</w:t>
      </w:r>
      <w:proofErr w:type="spellEnd"/>
      <w:r>
        <w:rPr>
          <w:lang w:eastAsia="it-IT"/>
        </w:rPr>
        <w:t>.</w:t>
      </w:r>
      <w:r w:rsidR="007769F5">
        <w:rPr>
          <w:lang w:eastAsia="it-IT"/>
        </w:rPr>
        <w:t xml:space="preserve"> </w:t>
      </w:r>
      <w:r>
        <w:rPr>
          <w:lang w:eastAsia="it-IT"/>
        </w:rPr>
        <w:t xml:space="preserve">IC95%: intervalo de confianza del 95%; RMST: </w:t>
      </w:r>
      <w:proofErr w:type="spellStart"/>
      <w:r>
        <w:rPr>
          <w:i/>
          <w:lang w:eastAsia="it-IT"/>
        </w:rPr>
        <w:t>restricted</w:t>
      </w:r>
      <w:proofErr w:type="spellEnd"/>
      <w:r>
        <w:rPr>
          <w:i/>
          <w:lang w:eastAsia="it-IT"/>
        </w:rPr>
        <w:t xml:space="preserve"> mean </w:t>
      </w:r>
      <w:proofErr w:type="spellStart"/>
      <w:r>
        <w:rPr>
          <w:i/>
          <w:lang w:eastAsia="it-IT"/>
        </w:rPr>
        <w:t>survival</w:t>
      </w:r>
      <w:proofErr w:type="spellEnd"/>
      <w:r>
        <w:rPr>
          <w:i/>
          <w:lang w:eastAsia="it-IT"/>
        </w:rPr>
        <w:t xml:space="preserve"> time</w:t>
      </w:r>
      <w:r w:rsidRPr="007769F5">
        <w:rPr>
          <w:i/>
          <w:lang w:eastAsia="it-IT"/>
        </w:rPr>
        <w:t>;</w:t>
      </w:r>
      <w:r>
        <w:rPr>
          <w:lang w:eastAsia="it-IT"/>
        </w:rPr>
        <w:t xml:space="preserve"> </w:t>
      </w:r>
      <w:r w:rsidR="007769F5">
        <w:rPr>
          <w:lang w:eastAsia="it-IT"/>
        </w:rPr>
        <w:t xml:space="preserve">TAPD: </w:t>
      </w:r>
      <w:r w:rsidR="0092667A">
        <w:rPr>
          <w:lang w:eastAsia="it-IT"/>
        </w:rPr>
        <w:t xml:space="preserve">tratamiento </w:t>
      </w:r>
      <w:proofErr w:type="spellStart"/>
      <w:r w:rsidR="007769F5">
        <w:rPr>
          <w:lang w:eastAsia="it-IT"/>
        </w:rPr>
        <w:t>antiagregante</w:t>
      </w:r>
      <w:proofErr w:type="spellEnd"/>
      <w:r w:rsidR="007769F5">
        <w:rPr>
          <w:lang w:eastAsia="it-IT"/>
        </w:rPr>
        <w:t xml:space="preserve"> </w:t>
      </w:r>
      <w:r w:rsidR="0092667A">
        <w:rPr>
          <w:lang w:eastAsia="it-IT"/>
        </w:rPr>
        <w:t xml:space="preserve">plaquetario </w:t>
      </w:r>
      <w:r w:rsidR="007769F5">
        <w:rPr>
          <w:lang w:eastAsia="it-IT"/>
        </w:rPr>
        <w:t xml:space="preserve">doble; </w:t>
      </w:r>
      <w:r>
        <w:rPr>
          <w:lang w:eastAsia="it-IT"/>
        </w:rPr>
        <w:t>TS: trombosis de</w:t>
      </w:r>
      <w:r w:rsidR="007769F5">
        <w:rPr>
          <w:lang w:eastAsia="it-IT"/>
        </w:rPr>
        <w:t>l</w:t>
      </w:r>
      <w:r>
        <w:rPr>
          <w:lang w:eastAsia="it-IT"/>
        </w:rPr>
        <w:t xml:space="preserve"> </w:t>
      </w:r>
      <w:proofErr w:type="spellStart"/>
      <w:r>
        <w:rPr>
          <w:i/>
          <w:lang w:eastAsia="it-IT"/>
        </w:rPr>
        <w:t>stent</w:t>
      </w:r>
      <w:proofErr w:type="spellEnd"/>
      <w:r>
        <w:rPr>
          <w:lang w:eastAsia="it-IT"/>
        </w:rPr>
        <w:t>.</w:t>
      </w:r>
    </w:p>
    <w:p w14:paraId="2E81461B" w14:textId="77777777" w:rsidR="00451C72" w:rsidRDefault="00451C72" w:rsidP="007769F5"/>
    <w:sectPr w:rsidR="00451C72">
      <w:pgSz w:w="11906" w:h="16838"/>
      <w:pgMar w:top="1418" w:right="1418" w:bottom="1418" w:left="1418" w:header="720" w:footer="720" w:gutter="0"/>
      <w:cols w:space="720"/>
      <w:docGrid w:linePitch="360" w:charSpace="-2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6B"/>
    <w:rsid w:val="001C206A"/>
    <w:rsid w:val="00451C72"/>
    <w:rsid w:val="00636A39"/>
    <w:rsid w:val="00651686"/>
    <w:rsid w:val="007769F5"/>
    <w:rsid w:val="008A546B"/>
    <w:rsid w:val="0092667A"/>
    <w:rsid w:val="00B574EA"/>
    <w:rsid w:val="00D83E9C"/>
    <w:rsid w:val="00DC44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DC1A77"/>
  <w15:docId w15:val="{3CA87C0B-7DDF-456B-8FC8-49C47CC6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686"/>
    <w:pPr>
      <w:suppressAutoHyphens/>
      <w:spacing w:line="360" w:lineRule="auto"/>
    </w:pPr>
    <w:rPr>
      <w:rFonts w:ascii="Tahoma" w:eastAsia="Calibri" w:hAnsi="Tahoma"/>
      <w:sz w:val="24"/>
      <w:szCs w:val="22"/>
      <w:lang w:eastAsia="zh-CN"/>
    </w:rPr>
  </w:style>
  <w:style w:type="paragraph" w:styleId="Heading1">
    <w:name w:val="heading 1"/>
    <w:basedOn w:val="Normal"/>
    <w:next w:val="Normal"/>
    <w:qFormat/>
    <w:pPr>
      <w:keepNext/>
      <w:keepLines/>
      <w:numPr>
        <w:numId w:val="1"/>
      </w:numPr>
      <w:spacing w:line="480" w:lineRule="auto"/>
      <w:outlineLvl w:val="0"/>
    </w:pPr>
    <w:rPr>
      <w:b/>
      <w:bCs/>
      <w:szCs w:val="28"/>
      <w:lang w:val="es-ES_tradnl"/>
    </w:rPr>
  </w:style>
  <w:style w:type="paragraph" w:styleId="Heading2">
    <w:name w:val="heading 2"/>
    <w:basedOn w:val="Normal"/>
    <w:next w:val="Normal"/>
    <w:qFormat/>
    <w:pPr>
      <w:keepNext/>
      <w:keepLines/>
      <w:numPr>
        <w:ilvl w:val="1"/>
        <w:numId w:val="1"/>
      </w:numPr>
      <w:spacing w:line="480" w:lineRule="auto"/>
      <w:outlineLvl w:val="1"/>
    </w:pPr>
    <w:rPr>
      <w:rFonts w:eastAsia="Times New Roman"/>
      <w:bCs/>
      <w:i/>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1">
    <w:name w:val="Fuente de párrafo predeter.1"/>
  </w:style>
  <w:style w:type="character" w:customStyle="1" w:styleId="Ttulo1Car">
    <w:name w:val="Título 1 Car"/>
    <w:rPr>
      <w:rFonts w:ascii="Calibri" w:hAnsi="Calibri" w:cs="Calibri"/>
      <w:b/>
      <w:bCs/>
      <w:sz w:val="22"/>
      <w:szCs w:val="28"/>
      <w:lang w:val="es-ES_tradnl"/>
    </w:rPr>
  </w:style>
  <w:style w:type="character" w:customStyle="1" w:styleId="Ttulo2Car">
    <w:name w:val="Título 2 Car"/>
    <w:rPr>
      <w:rFonts w:ascii="Calibri" w:eastAsia="Times New Roman" w:hAnsi="Calibri" w:cs="Times New Roman"/>
      <w:bCs/>
      <w:i/>
      <w:sz w:val="22"/>
      <w:szCs w:val="26"/>
      <w:lang w:val="es-ES_tradnl"/>
    </w:rPr>
  </w:style>
  <w:style w:type="character" w:customStyle="1" w:styleId="TtuloCar">
    <w:name w:val="Título Car"/>
    <w:rPr>
      <w:rFonts w:ascii="Calibri" w:eastAsia="Times New Roman" w:hAnsi="Calibri" w:cs="Times New Roman"/>
      <w:sz w:val="22"/>
      <w:szCs w:val="52"/>
      <w:lang w:val="es-ES_tradnl"/>
    </w:rPr>
  </w:style>
  <w:style w:type="character" w:customStyle="1" w:styleId="Refdecomentario1">
    <w:name w:val="Ref. de comentario1"/>
    <w:rPr>
      <w:sz w:val="16"/>
      <w:szCs w:val="16"/>
    </w:rPr>
  </w:style>
  <w:style w:type="character" w:customStyle="1" w:styleId="TextocomentarioCar">
    <w:name w:val="Texto comentario Car"/>
    <w:basedOn w:val="Fuentedeprrafopredeter1"/>
  </w:style>
  <w:style w:type="character" w:customStyle="1" w:styleId="AsuntodelcomentarioCar">
    <w:name w:val="Asunto del comentario Car"/>
    <w:rPr>
      <w:b/>
      <w:bCs/>
    </w:rPr>
  </w:style>
  <w:style w:type="character" w:customStyle="1" w:styleId="TextodegloboCar">
    <w:name w:val="Texto de globo Car"/>
    <w:rPr>
      <w:rFonts w:ascii="Tahoma" w:hAnsi="Tahoma" w:cs="Tahoma"/>
      <w:sz w:val="16"/>
      <w:szCs w:val="16"/>
    </w:rPr>
  </w:style>
  <w:style w:type="paragraph" w:customStyle="1" w:styleId="Encabezado1">
    <w:name w:val="Encabezado1"/>
    <w:basedOn w:val="Normal"/>
    <w:next w:val="Normal"/>
    <w:pPr>
      <w:spacing w:line="480" w:lineRule="auto"/>
      <w:contextualSpacing/>
    </w:pPr>
    <w:rPr>
      <w:rFonts w:eastAsia="Times New Roman"/>
      <w:szCs w:val="52"/>
      <w:lang w:val="es-ES_tradnl"/>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styleId="Header">
    <w:name w:val="header"/>
    <w:basedOn w:val="Normal"/>
    <w:next w:val="BodyText"/>
    <w:pPr>
      <w:keepNext/>
      <w:spacing w:before="240" w:after="120"/>
    </w:pPr>
    <w:rPr>
      <w:rFonts w:ascii="Liberation Sans" w:eastAsia="Microsoft YaHei" w:hAnsi="Liberation Sans" w:cs="Mangal"/>
      <w:sz w:val="28"/>
      <w:szCs w:val="28"/>
    </w:rPr>
  </w:style>
  <w:style w:type="paragraph" w:customStyle="1" w:styleId="Contenidodelatabla">
    <w:name w:val="Contenido de la tabla"/>
    <w:basedOn w:val="Normal"/>
    <w:pPr>
      <w:spacing w:line="252" w:lineRule="auto"/>
    </w:pPr>
    <w:rPr>
      <w:rFonts w:cs="Mangal"/>
      <w:color w:val="00000A"/>
    </w:rPr>
  </w:style>
  <w:style w:type="paragraph" w:styleId="ListParagraph">
    <w:name w:val="List Paragraph"/>
    <w:basedOn w:val="Normal"/>
    <w:qFormat/>
    <w:pPr>
      <w:spacing w:line="480" w:lineRule="auto"/>
      <w:ind w:left="720"/>
      <w:contextualSpacing/>
    </w:pPr>
  </w:style>
  <w:style w:type="paragraph" w:customStyle="1" w:styleId="Epgrafe1">
    <w:name w:val="Epígrafe1"/>
    <w:basedOn w:val="Normal"/>
    <w:next w:val="Normal"/>
    <w:pPr>
      <w:spacing w:after="200"/>
    </w:pPr>
    <w:rPr>
      <w:b/>
      <w:bCs/>
      <w:color w:val="4F81BD"/>
      <w:sz w:val="18"/>
      <w:szCs w:val="18"/>
    </w:rPr>
  </w:style>
  <w:style w:type="paragraph" w:styleId="NoSpacing">
    <w:name w:val="No Spacing"/>
    <w:next w:val="Normal"/>
    <w:qFormat/>
    <w:pPr>
      <w:suppressAutoHyphens/>
      <w:spacing w:line="480" w:lineRule="auto"/>
      <w:jc w:val="both"/>
    </w:pPr>
    <w:rPr>
      <w:rFonts w:ascii="Calibri" w:eastAsia="Calibri" w:hAnsi="Calibri"/>
      <w:b/>
      <w:caps/>
      <w:color w:val="943634"/>
      <w:sz w:val="22"/>
      <w:szCs w:val="22"/>
      <w:lang w:eastAsia="zh-CN"/>
    </w:r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styleId="BalloonText">
    <w:name w:val="Balloon Text"/>
    <w:basedOn w:val="Normal"/>
    <w:rPr>
      <w:rFonts w:cs="Tahoma"/>
      <w:sz w:val="16"/>
      <w:szCs w:val="16"/>
    </w:rPr>
  </w:style>
  <w:style w:type="paragraph" w:customStyle="1" w:styleId="Encabezadodelatabla">
    <w:name w:val="Encabezado de la tabla"/>
    <w:basedOn w:val="Contenidodelatabla"/>
    <w:pPr>
      <w:suppressLineNumbers/>
      <w:jc w:val="center"/>
    </w:pPr>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lang w:eastAsia="zh-CN"/>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7769F5"/>
    <w:pPr>
      <w:spacing w:line="36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1154</Words>
  <Characters>6582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Raposeiras Roubín</dc:creator>
  <cp:lastModifiedBy>Sumanti Gowala</cp:lastModifiedBy>
  <cp:revision>4</cp:revision>
  <cp:lastPrinted>2018-01-23T07:27:00Z</cp:lastPrinted>
  <dcterms:created xsi:type="dcterms:W3CDTF">2018-04-17T10:06:00Z</dcterms:created>
  <dcterms:modified xsi:type="dcterms:W3CDTF">2018-04-27T08:48:00Z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_Grammarly_42___1">
    <vt:lpwstr>H4sIAAAAAAAEAKtWcslP9kxRslIyNDY0MzQ0MDIyMbMwNLM0NrVQ0lEKTi0uzszPAykwrQUATb55JCwAAAA=</vt:lpwstr>
  </property>
  <property fmtid="{D5CDD505-2E9C-101B-9397-08002B2CF9AE}" pid="9" name="__Grammarly_42____i">
    <vt:lpwstr>H4sIAAAAAAAEAKtWckksSQxILCpxzi/NK1GyMqwFAAEhoTITAAAA</vt:lpwstr>
  </property>
</Properties>
</file>